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pacing w:val="63"/>
          <w:position w:val="3"/>
          <w:sz w:val="60"/>
          <w:szCs w:val="6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1" w:leftChars="-95" w:right="0" w:rightChars="0" w:hanging="198" w:hangingChars="31"/>
        <w:jc w:val="center"/>
        <w:textAlignment w:val="auto"/>
        <w:outlineLvl w:val="9"/>
        <w:rPr>
          <w:rFonts w:hint="eastAsia" w:ascii="宋体" w:hAnsi="宋体"/>
          <w:b/>
          <w:sz w:val="44"/>
          <w:szCs w:val="44"/>
        </w:rPr>
      </w:pPr>
      <w:r>
        <w:rPr>
          <w:rFonts w:hint="eastAsia"/>
          <w:b/>
          <w:color w:val="FF0000"/>
          <w:spacing w:val="21"/>
          <w:w w:val="83"/>
          <w:kern w:val="0"/>
          <w:sz w:val="72"/>
          <w:szCs w:val="72"/>
          <w:fitText w:val="9019" w:id="0"/>
        </w:rPr>
        <w:t>文成县安全生产监督管理局文</w:t>
      </w:r>
      <w:r>
        <w:rPr>
          <w:rFonts w:hint="eastAsia"/>
          <w:b/>
          <w:color w:val="FF0000"/>
          <w:spacing w:val="4"/>
          <w:w w:val="83"/>
          <w:kern w:val="0"/>
          <w:sz w:val="72"/>
          <w:szCs w:val="72"/>
          <w:fitText w:val="9019" w:id="0"/>
        </w:rPr>
        <w:t>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b/>
          <w:sz w:val="44"/>
          <w:szCs w:val="44"/>
        </w:rPr>
      </w:pPr>
    </w:p>
    <w:p>
      <w:pPr>
        <w:spacing w:line="520" w:lineRule="exact"/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文安监管〔201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31</w:t>
      </w:r>
      <w:r>
        <w:rPr>
          <w:rFonts w:hint="eastAsia" w:ascii="仿宋_GB2312" w:hAnsi="仿宋_GB2312" w:eastAsia="仿宋_GB2312" w:cs="仿宋_GB2312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/>
          <w:b/>
          <w:sz w:val="44"/>
          <w:szCs w:val="44"/>
        </w:rPr>
      </w:pPr>
      <w:r>
        <w:pict>
          <v:line id="_x0000_s1112" o:spid="_x0000_s1112" o:spt="20" style="position:absolute;left:0pt;flip:y;margin-left:4.5pt;margin-top:4.75pt;height:0.05pt;width:411pt;z-index:503294976;mso-width-relative:page;mso-height-relative:page;" coordsize="21600,21600">
            <v:path arrowok="t"/>
            <v:fill focussize="0,0"/>
            <v:stroke weight="2pt" color="#FF0000"/>
            <v:imagedata o:title=""/>
            <o:lock v:ext="edit"/>
          </v:line>
        </w:pict>
      </w:r>
    </w:p>
    <w:p>
      <w:pPr>
        <w:spacing w:line="520" w:lineRule="exact"/>
        <w:jc w:val="center"/>
        <w:rPr>
          <w:rFonts w:hint="eastAsia" w:ascii="宋体" w:hAnsi="宋体" w:eastAsia="宋体"/>
          <w:b/>
          <w:sz w:val="44"/>
          <w:szCs w:val="44"/>
          <w:lang w:eastAsia="zh-CN"/>
        </w:rPr>
      </w:pPr>
      <w:r>
        <w:rPr>
          <w:rFonts w:hint="eastAsia" w:ascii="宋体" w:hAnsi="宋体" w:eastAsia="宋体"/>
          <w:b/>
          <w:sz w:val="44"/>
          <w:szCs w:val="44"/>
          <w:lang w:eastAsia="zh-CN"/>
        </w:rPr>
        <w:t>转发国家安全监管总局办公厅</w:t>
      </w:r>
    </w:p>
    <w:p>
      <w:pPr>
        <w:spacing w:line="520" w:lineRule="exact"/>
        <w:jc w:val="center"/>
        <w:rPr>
          <w:rFonts w:hint="eastAsia" w:ascii="宋体" w:hAnsi="宋体" w:eastAsia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b/>
          <w:sz w:val="44"/>
          <w:szCs w:val="44"/>
          <w:lang w:eastAsia="zh-CN"/>
        </w:rPr>
        <w:t>关于</w:t>
      </w: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2017年工贸行业粉尘防爆专项整治</w:t>
      </w:r>
    </w:p>
    <w:p>
      <w:pPr>
        <w:spacing w:line="520" w:lineRule="exact"/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工作进展情况的通报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560" w:lineRule="exact"/>
        <w:ind w:left="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spacing w:val="103"/>
          <w:positio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各乡镇安监所，有关企业：</w:t>
      </w:r>
      <w:r>
        <w:rPr>
          <w:rFonts w:hint="eastAsia" w:ascii="仿宋_GB2312" w:hAnsi="仿宋_GB2312" w:eastAsia="仿宋_GB2312" w:cs="仿宋_GB2312"/>
          <w:spacing w:val="131"/>
          <w:position w:val="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88"/>
          <w:position w:val="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66"/>
          <w:position w:val="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85"/>
          <w:position w:val="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91"/>
          <w:position w:val="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7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61"/>
          <w:position w:val="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93"/>
          <w:position w:val="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84"/>
          <w:position w:val="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68"/>
          <w:position w:val="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103"/>
          <w:position w:val="2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right="0" w:rightChars="0" w:firstLine="645"/>
        <w:jc w:val="both"/>
        <w:textAlignment w:val="auto"/>
        <w:outlineLvl w:val="9"/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  <w:t>根据温州市安全生产监督管理局《转发国家安全监管总局办公厅关于2017年工贸行业粉尘防爆专项整治工作进展情况的通报》（温安监管</w:t>
      </w:r>
      <w:r>
        <w:rPr>
          <w:rFonts w:hint="eastAsia" w:ascii="仿宋_GB2312" w:hAnsi="仿宋_GB2312" w:eastAsia="仿宋_GB2312" w:cs="仿宋_GB2312"/>
          <w:sz w:val="32"/>
          <w:szCs w:val="32"/>
        </w:rPr>
        <w:t>〔201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  <w:t>17号）文件要求，结合文成在册粉尘企业实际，将《国家安全监管总局办公厅关于2017年工贸行业粉尘防爆专项整治工作进展情况的通报》（安监总厅管四函</w:t>
      </w:r>
      <w:r>
        <w:rPr>
          <w:rFonts w:hint="eastAsia" w:ascii="仿宋_GB2312" w:hAnsi="仿宋_GB2312" w:eastAsia="仿宋_GB2312" w:cs="仿宋_GB2312"/>
          <w:sz w:val="32"/>
          <w:szCs w:val="32"/>
        </w:rPr>
        <w:t>〔201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  <w:t>33号，以下简称《通报》）转发给你们，并就2018年粉尘防爆专项整治，提出如下要求，请一并抓好落实。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before="0" w:after="0" w:line="560" w:lineRule="exact"/>
        <w:ind w:left="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pacing w:val="-4"/>
          <w:sz w:val="32"/>
          <w:szCs w:val="32"/>
          <w:lang w:val="en-US" w:eastAsia="zh-CN"/>
        </w:rPr>
        <w:t>一、切实提高认识，持续推进整治。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  <w:t>要进一步提高对粉尘爆炸危害性的认识，继续将粉尘防爆专项整治作为今年安全监管工作重点，各乡镇安监所要在3月底前之前对本地粉尘涉爆企业进行再排查、再摸底、再甄别，切实摸清底数、实行清单管理，确保把每家粉尘涉爆企业纳入监管与整治行列，坚决防止漏排失管情况的出现。各乡镇安监所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  <w:t>要认真落实《通报》部署的任务和要求，并结合县安监局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  <w:t>《关于印发深化工贸行业涉燃爆粉尘企业整治提升工作方案的通知》（文安监管</w:t>
      </w:r>
      <w:r>
        <w:rPr>
          <w:rFonts w:hint="eastAsia" w:ascii="仿宋_GB2312" w:hAnsi="仿宋_GB2312" w:eastAsia="仿宋_GB2312" w:cs="仿宋_GB2312"/>
          <w:sz w:val="32"/>
          <w:szCs w:val="32"/>
        </w:rPr>
        <w:t>〔201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  <w:t>1号）的阶段性任务安排，明确目标，分解任务，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  <w:t>抓好整治工作的动员部署和组织实施；坚持紧抓不放、持续发力、综合施策，真正把粉尘防爆专项整治持续推向深入。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560" w:lineRule="exact"/>
        <w:ind w:left="0" w:leftChars="0" w:right="0" w:rightChars="0" w:firstLine="624"/>
        <w:jc w:val="both"/>
        <w:textAlignment w:val="auto"/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-4"/>
          <w:sz w:val="32"/>
          <w:szCs w:val="32"/>
          <w:lang w:val="en-US" w:eastAsia="zh-CN" w:bidi="ar-SA"/>
        </w:rPr>
        <w:t>二、严格整治标准，强化措施落实。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  <w:t>认真对照《通报》指出存在的突出问题和要求，举一反三，认真开展金属粉尘、木质粉尘涉爆企业整治“回头看”，积极查漏补缺；要突出整治重点，有步骤地推进工贸行业粉尘防爆专项整治。要继续按照文成县人民政府办公室关于印发《文成县粉尘防爆集中整治“双月”攻坚专项行动方案》的通知（文政办发明电</w:t>
      </w:r>
      <w:r>
        <w:rPr>
          <w:rFonts w:hint="eastAsia" w:ascii="仿宋_GB2312" w:hAnsi="仿宋_GB2312" w:eastAsia="仿宋_GB2312" w:cs="仿宋_GB2312"/>
          <w:sz w:val="32"/>
          <w:szCs w:val="32"/>
        </w:rPr>
        <w:t>〔201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  <w:t>19号），严格执行粉尘防爆整治“十条刚性规定”、“五条问责措施”和企业自查整治37条标准，强化“红黄绿”分类管理、除尘系统专业设计、整改方案三方会审、严格控制作业规模等各项整治措施落实，坚决以最严标准整到底，确保整治工作取得实效。对涉铝镁金属粉尘作业场所、其他粉尘涉爆作业场所10 人以上及2017年已上报的隐患未整治到位的企业，要依据《工贸行业重大生产安全事故隐患判定标准（2017 版）》及相关法律法规，开展重点执法督查；对除尘系统未正常运行、粉尘清理不及时等违法违规现象“反弹”的企业，要坚决从严处理。县安监局将根据实际，适时组织专项执法检查和抽查，并进行问题通报。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560" w:lineRule="exact"/>
        <w:ind w:left="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pacing w:val="-4"/>
          <w:sz w:val="32"/>
          <w:szCs w:val="32"/>
          <w:lang w:val="en-US" w:eastAsia="zh-CN" w:bidi="ar-SA"/>
        </w:rPr>
        <w:t>三、推进技术改进，提升本质安全。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  <w:t>坚持堵疏结合，积极引导企业开展粉尘防爆技术改进和工艺改造。要进一步大力推广湿式除尘工艺、干抛湿除一体机、监测报警装置，并通过调整原材料、机械化换人、自动化减人、改用湿式抛光等技术手段，引导推动传统抛光作业的更新换代和转型升级，提升抛光作业本质安全水平，努力从根源上实现“降危治本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560" w:lineRule="exact"/>
        <w:ind w:left="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黑体" w:hAnsi="黑体" w:eastAsia="黑体" w:cs="黑体"/>
          <w:spacing w:val="-4"/>
          <w:sz w:val="32"/>
          <w:szCs w:val="32"/>
          <w:lang w:val="en-US" w:eastAsia="zh-CN" w:bidi="ar-SA"/>
        </w:rPr>
        <w:t>四、建立长效机制，巩固整治成果。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  <w:t>立足构建长效机制，将专项整治与企业安全生产标准化建设、隐患排查治理体系建设、全员安全生产责任制、安全生产责任险、较大危险因素辨识管控、双重预防机制构建等工作有机结合，并及时学习借鉴、总结推广整治工作好经验好做法，不断巩固提升整治成果。要按照县安监局《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  <w:t>关于印发深化工贸行业涉燃爆粉尘企业整治提升工作方案的通知》（文安监管</w:t>
      </w:r>
      <w:r>
        <w:rPr>
          <w:rFonts w:hint="eastAsia" w:ascii="仿宋_GB2312" w:hAnsi="仿宋_GB2312" w:eastAsia="仿宋_GB2312" w:cs="仿宋_GB2312"/>
          <w:sz w:val="32"/>
          <w:szCs w:val="32"/>
        </w:rPr>
        <w:t>〔201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/>
        </w:rPr>
        <w:t>1号）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  <w:t>要求，强化常态化监管，严格落实分类监管和定期检查制度，健全完善涉燃爆粉尘作业场所视屏监控系统；严把粉尘涉爆企业新建新设关，建立健全日常巡查与打非治违工作机制；确保在册粉尘企业2018年全面完成安全生产标准化达标创建，以样板示范企业引领整治工作深入开展。引导辖区粉尘企业创建样板示范企业，落实推广措施，并于6月10日前将至少1家示范企业名单、示范推广举措落实情况报送县安监局综监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560" w:lineRule="exact"/>
        <w:ind w:left="0" w:leftChars="0" w:right="0" w:rightChars="0" w:firstLine="624"/>
        <w:jc w:val="both"/>
        <w:textAlignment w:val="auto"/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  <w:t>请各乡镇安监所于3月25日前向县安监局综监科报送《粉尘涉爆企业基础情况调查表》，并于11月25日前将2018年专项整治工作总结及《粉尘涉爆企业基础情况调查表》的纸质版和电子版一并报送县安监局综监科王炜处（联系电话：15088941028，联系QQ：513279238）。</w:t>
      </w:r>
    </w:p>
    <w:p>
      <w:pPr>
        <w:spacing w:beforeLines="0" w:afterLines="0"/>
        <w:jc w:val="left"/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  <w:t xml:space="preserve">    附件：粉尘涉爆企业基础情况调查表</w:t>
      </w:r>
      <w:bookmarkStart w:id="0" w:name="_GoBack"/>
      <w:bookmarkEnd w:id="0"/>
    </w:p>
    <w:p>
      <w:pPr>
        <w:spacing w:beforeLines="0" w:afterLines="0"/>
        <w:jc w:val="left"/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</w:pPr>
    </w:p>
    <w:p>
      <w:pPr>
        <w:spacing w:line="56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文成县</w:t>
      </w:r>
      <w:r>
        <w:rPr>
          <w:rFonts w:hint="eastAsia" w:ascii="仿宋_GB2312" w:hAnsi="仿宋_GB2312" w:eastAsia="仿宋_GB2312" w:cs="仿宋_GB2312"/>
          <w:sz w:val="32"/>
          <w:szCs w:val="32"/>
        </w:rPr>
        <w:t>安全生产监督管理局</w:t>
      </w: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2018年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月2日</w:t>
      </w: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jc w:val="left"/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 w:eastAsia="zh-CN"/>
        </w:rPr>
        <w:pict>
          <v:line id="直接连接符 1" o:spid="_x0000_s1026" o:spt="20" style="position:absolute;left:0pt;margin-left:0pt;margin-top:3pt;height:0pt;width:441pt;z-index:503297024;mso-width-relative:page;mso-height-relative:page;" coordsize="21600,21600">
            <v:path arrowok="t"/>
            <v:fill focussize="0,0"/>
            <v:stroke weight="0.5pt" joinstyle="miter"/>
            <v:imagedata o:title=""/>
            <o:lock v:ext="edit"/>
          </v:line>
        </w:pic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 w:eastAsia="zh-CN"/>
        </w:rPr>
        <w:pict>
          <v:line id="直接连接符 2" o:spid="_x0000_s1027" o:spt="20" style="position:absolute;left:0pt;margin-left:0pt;margin-top:35.6pt;height:0pt;width:441pt;z-index:503296000;mso-width-relative:page;mso-height-relative:page;" coordsize="21600,21600">
            <v:path arrowok="t"/>
            <v:fill focussize="0,0"/>
            <v:stroke weight="1.5pt" joinstyle="miter"/>
            <v:imagedata o:title=""/>
            <o:lock v:ext="edit"/>
          </v:line>
        </w:pic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文成县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安全生产监督管理局办公室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2018年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月2日印发</w:t>
      </w:r>
    </w:p>
    <w:p>
      <w:pPr>
        <w:spacing w:beforeLines="0" w:afterLines="0"/>
        <w:jc w:val="left"/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val="en-US" w:eastAsia="zh-CN" w:bidi="ar-SA"/>
        </w:rPr>
        <w:t>附件：</w:t>
      </w:r>
    </w:p>
    <w:p>
      <w:pPr>
        <w:pStyle w:val="2"/>
        <w:jc w:val="center"/>
        <w:rPr>
          <w:rFonts w:hint="eastAsia" w:ascii="宋体" w:hAnsi="宋体"/>
          <w:sz w:val="39"/>
        </w:rPr>
      </w:pPr>
      <w:r>
        <w:rPr>
          <w:rFonts w:hint="eastAsia" w:ascii="宋体" w:hAnsi="宋体"/>
          <w:sz w:val="39"/>
        </w:rPr>
        <w:t>粉尘涉爆企业基础情况调查表</w:t>
      </w:r>
    </w:p>
    <w:p>
      <w:pPr>
        <w:spacing w:beforeLines="0" w:afterLines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 w:bidi="ar-SA"/>
        </w:rPr>
        <w:t xml:space="preserve"> </w:t>
      </w:r>
    </w:p>
    <w:p>
      <w:pPr>
        <w:spacing w:beforeLines="0" w:afterLines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 w:bidi="ar-SA"/>
        </w:rPr>
      </w:pPr>
    </w:p>
    <w:tbl>
      <w:tblPr>
        <w:tblStyle w:val="7"/>
        <w:tblpPr w:leftFromText="180" w:rightFromText="180" w:vertAnchor="text" w:horzAnchor="page" w:tblpX="1249" w:tblpY="265"/>
        <w:tblOverlap w:val="never"/>
        <w:tblW w:w="99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8"/>
        <w:gridCol w:w="1375"/>
        <w:gridCol w:w="751"/>
        <w:gridCol w:w="769"/>
        <w:gridCol w:w="718"/>
        <w:gridCol w:w="704"/>
        <w:gridCol w:w="1122"/>
        <w:gridCol w:w="878"/>
        <w:gridCol w:w="1264"/>
        <w:gridCol w:w="726"/>
        <w:gridCol w:w="12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398" w:type="dxa"/>
            <w:vMerge w:val="restart"/>
            <w:vAlign w:val="center"/>
          </w:tcPr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375" w:type="dxa"/>
            <w:vMerge w:val="restart"/>
            <w:vAlign w:val="center"/>
          </w:tcPr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751" w:type="dxa"/>
            <w:vMerge w:val="restart"/>
            <w:vAlign w:val="center"/>
          </w:tcPr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所属行业</w:t>
            </w:r>
          </w:p>
        </w:tc>
        <w:tc>
          <w:tcPr>
            <w:tcW w:w="769" w:type="dxa"/>
            <w:vMerge w:val="restart"/>
            <w:vAlign w:val="center"/>
          </w:tcPr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粉尘种类</w:t>
            </w:r>
          </w:p>
        </w:tc>
        <w:tc>
          <w:tcPr>
            <w:tcW w:w="718" w:type="dxa"/>
            <w:vMerge w:val="restart"/>
            <w:vAlign w:val="center"/>
          </w:tcPr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企业规模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/>
                <w:sz w:val="21"/>
              </w:rPr>
            </w:pPr>
            <w:r>
              <w:rPr>
                <w:rFonts w:hint="eastAsia" w:ascii="宋体" w:hAnsi="宋体"/>
                <w:sz w:val="21"/>
              </w:rPr>
              <w:t>员工</w:t>
            </w:r>
          </w:p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</w:rPr>
              <w:t>总数</w:t>
            </w:r>
          </w:p>
        </w:tc>
        <w:tc>
          <w:tcPr>
            <w:tcW w:w="1122" w:type="dxa"/>
            <w:vMerge w:val="restart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/>
                <w:sz w:val="23"/>
              </w:rPr>
            </w:pPr>
            <w:r>
              <w:rPr>
                <w:rFonts w:hint="eastAsia" w:ascii="宋体" w:hAnsi="宋体"/>
                <w:sz w:val="23"/>
              </w:rPr>
              <w:t>涉粉作</w:t>
            </w:r>
          </w:p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3"/>
              </w:rPr>
              <w:t>业人数</w:t>
            </w:r>
          </w:p>
        </w:tc>
        <w:tc>
          <w:tcPr>
            <w:tcW w:w="2142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法人代表</w:t>
            </w:r>
          </w:p>
        </w:tc>
        <w:tc>
          <w:tcPr>
            <w:tcW w:w="1941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安全负责人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398" w:type="dxa"/>
            <w:vMerge w:val="continue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vMerge w:val="continue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1" w:type="dxa"/>
            <w:vMerge w:val="continue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69" w:type="dxa"/>
            <w:vMerge w:val="continue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18" w:type="dxa"/>
            <w:vMerge w:val="continue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04" w:type="dxa"/>
            <w:vMerge w:val="continue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22" w:type="dxa"/>
            <w:vMerge w:val="continue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78" w:type="dxa"/>
            <w:vAlign w:val="center"/>
          </w:tcPr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1264" w:type="dxa"/>
            <w:vAlign w:val="center"/>
          </w:tcPr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手机号码</w:t>
            </w:r>
          </w:p>
        </w:tc>
        <w:tc>
          <w:tcPr>
            <w:tcW w:w="726" w:type="dxa"/>
            <w:vAlign w:val="center"/>
          </w:tcPr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1215" w:type="dxa"/>
            <w:vAlign w:val="center"/>
          </w:tcPr>
          <w:p>
            <w:pPr>
              <w:pStyle w:val="2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39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375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1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69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1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04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22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7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64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26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15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39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375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1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69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1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04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22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7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64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26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15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39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375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1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69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1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04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22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7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64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26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15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35" w:hRule="atLeast"/>
        </w:trPr>
        <w:tc>
          <w:tcPr>
            <w:tcW w:w="39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75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1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69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1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04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22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78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64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26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15" w:type="dxa"/>
          </w:tcPr>
          <w:p>
            <w:pPr>
              <w:pStyle w:val="2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spacing w:beforeLines="0" w:afterLines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 w:bidi="ar-SA"/>
        </w:rPr>
      </w:pPr>
    </w:p>
    <w:p>
      <w:pPr>
        <w:spacing w:beforeLines="0" w:afterLines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 w:bidi="ar-SA"/>
        </w:rPr>
      </w:pPr>
    </w:p>
    <w:p>
      <w:pPr>
        <w:spacing w:beforeLines="0" w:afterLines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 w:bidi="ar-SA"/>
        </w:rPr>
      </w:pPr>
    </w:p>
    <w:p>
      <w:pPr>
        <w:spacing w:beforeLines="0" w:afterLines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 w:bidi="ar-SA"/>
        </w:rPr>
      </w:pPr>
    </w:p>
    <w:p>
      <w:pPr>
        <w:spacing w:beforeLines="0" w:afterLines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 w:bidi="ar-SA"/>
        </w:rPr>
        <w:t xml:space="preserve"> 注: 1.所属行业、粉尘种类:参考《工贸行业重点可燃性粉尘目录（2015年版）》，务必核查准确。</w:t>
      </w:r>
    </w:p>
    <w:p>
      <w:pPr>
        <w:spacing w:beforeLines="0" w:afterLines="0"/>
        <w:jc w:val="left"/>
        <w:rPr>
          <w:sz w:val="20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vertAlign w:val="baseline"/>
          <w:lang w:val="en-US" w:eastAsia="zh-CN" w:bidi="ar-SA"/>
        </w:rPr>
        <w:t xml:space="preserve">      2.涉粉作业人数:是指可能受到粉尘爆炸伤害的最多作业人数.主要区域包括:存在粉尘爆炸危险的生产车间，除尘管道通过的建构筑物，与爆炸危险场所毗邻且未设置隔离设施的工作区域。</w:t>
      </w:r>
    </w:p>
    <w:p>
      <w:pPr>
        <w:pStyle w:val="2"/>
        <w:rPr>
          <w:sz w:val="20"/>
        </w:rPr>
      </w:pPr>
    </w:p>
    <w:p>
      <w:pPr>
        <w:spacing w:after="0"/>
        <w:jc w:val="both"/>
        <w:rPr>
          <w:rFonts w:ascii="Times New Roman"/>
          <w:sz w:val="24"/>
        </w:rPr>
        <w:sectPr>
          <w:pgSz w:w="11900" w:h="16840"/>
          <w:pgMar w:top="1134" w:right="1587" w:bottom="1134" w:left="1587" w:header="720" w:footer="720" w:gutter="0"/>
          <w:paperSrc/>
          <w:cols w:equalWidth="0" w:num="1">
            <w:col w:w="9140"/>
          </w:cols>
          <w:rtlGutter w:val="0"/>
          <w:docGrid w:linePitch="0" w:charSpace="0"/>
        </w:sectPr>
      </w:pPr>
    </w:p>
    <w:p>
      <w:pPr>
        <w:pStyle w:val="2"/>
        <w:rPr>
          <w:rFonts w:ascii="Times New Roman"/>
          <w:sz w:val="20"/>
        </w:rPr>
      </w:pPr>
      <w:r>
        <w:pict>
          <v:group id="_x0000_s1092" o:spid="_x0000_s1092" o:spt="203" style="position:absolute;left:0pt;margin-left:0pt;margin-top:0pt;height:846.75pt;width:594.25pt;mso-position-horizontal-relative:page;mso-position-vertical-relative:page;z-index:-26624;mso-width-relative:page;mso-height-relative:page;" coordsize="11885,16935">
            <o:lock v:ext="edit"/>
            <v:shape id="_x0000_s1093" o:spid="_x0000_s1093" o:spt="75" type="#_x0000_t75" style="position:absolute;left:0;top:0;height:16935;width:11885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rect id="_x0000_s1094" o:spid="_x0000_s1094" o:spt="1" style="position:absolute;left:0;top:57;height:1441;width:7973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9"/>
        <w:rPr>
          <w:rFonts w:ascii="Times New Roman"/>
          <w:sz w:val="25"/>
        </w:rPr>
      </w:pPr>
    </w:p>
    <w:p>
      <w:pPr>
        <w:spacing w:before="90"/>
        <w:ind w:left="0" w:right="0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5</w:t>
      </w:r>
    </w:p>
    <w:p>
      <w:pPr>
        <w:spacing w:after="0"/>
        <w:jc w:val="center"/>
        <w:rPr>
          <w:rFonts w:ascii="Times New Roman"/>
          <w:sz w:val="24"/>
        </w:rPr>
        <w:sectPr>
          <w:pgSz w:w="11890" w:h="16940"/>
          <w:pgMar w:top="1600" w:right="1680" w:bottom="280" w:left="1680" w:header="720" w:footer="720" w:gutter="0"/>
          <w:cols w:equalWidth="0" w:num="1">
            <w:col w:w="8530"/>
          </w:cols>
        </w:sectPr>
      </w:pPr>
    </w:p>
    <w:p>
      <w:pPr>
        <w:pStyle w:val="2"/>
        <w:rPr>
          <w:rFonts w:ascii="Times New Roman"/>
          <w:sz w:val="20"/>
        </w:rPr>
      </w:pPr>
      <w:r>
        <w:drawing>
          <wp:anchor distT="0" distB="0" distL="0" distR="0" simplePos="0" relativeHeight="268408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808335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7"/>
        <w:rPr>
          <w:rFonts w:ascii="Times New Roman"/>
          <w:sz w:val="20"/>
        </w:rPr>
      </w:pPr>
    </w:p>
    <w:p>
      <w:pPr>
        <w:spacing w:before="0"/>
        <w:ind w:left="0" w:right="0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6</w:t>
      </w:r>
    </w:p>
    <w:p>
      <w:pPr>
        <w:spacing w:after="0"/>
        <w:jc w:val="center"/>
        <w:rPr>
          <w:rFonts w:ascii="Times New Roman"/>
          <w:sz w:val="24"/>
        </w:rPr>
        <w:sectPr>
          <w:pgSz w:w="11900" w:h="17030"/>
          <w:pgMar w:top="1620" w:right="1680" w:bottom="280" w:left="1680" w:header="720" w:footer="720" w:gutter="0"/>
          <w:cols w:equalWidth="0" w:num="1">
            <w:col w:w="8540"/>
          </w:cols>
        </w:sectPr>
      </w:pPr>
    </w:p>
    <w:p>
      <w:pPr>
        <w:pStyle w:val="2"/>
        <w:rPr>
          <w:rFonts w:ascii="Times New Roman"/>
          <w:sz w:val="20"/>
        </w:rPr>
      </w:pPr>
      <w:r>
        <w:pict>
          <v:group id="_x0000_s1095" o:spid="_x0000_s1095" o:spt="203" style="position:absolute;left:0pt;margin-left:0pt;margin-top:0pt;height:850.35pt;width:594.25pt;mso-position-horizontal-relative:page;mso-position-vertical-relative:page;z-index:-26624;mso-width-relative:page;mso-height-relative:page;" coordsize="11885,17007">
            <o:lock v:ext="edit"/>
            <v:shape id="_x0000_s1096" o:spid="_x0000_s1096" o:spt="75" type="#_x0000_t75" style="position:absolute;left:0;top:0;height:17007;width:11885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97" o:spid="_x0000_s1097" style="position:absolute;left:0;top:1911;height:15095;width:11885;" fillcolor="#FFFFFF" filled="t" stroked="f" coordorigin="0,1911" coordsize="11885,15095" path="m11885,14888l0,14888,0,17006,11885,17006,11885,14888m11885,1911l0,1911,0,1960,11885,1960,11885,1911e">
              <v:path arrowok="t"/>
              <v:fill on="t" focussize="0,0"/>
              <v:stroke on="f"/>
              <v:imagedata o:title=""/>
              <o:lock v:ext="edit"/>
            </v:shape>
            <v:line id="_x0000_s1098" o:spid="_x0000_s1098" o:spt="20" style="position:absolute;left:0;top:17002;height:0;width:5184;" stroked="t" coordsize="21600,21600">
              <v:path arrowok="t"/>
              <v:fill focussize="0,0"/>
              <v:stroke weight="0.46pt" color="#FFFFFF"/>
              <v:imagedata o:title=""/>
              <o:lock v:ext="edit"/>
            </v:line>
          </v:group>
        </w:pic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spacing w:before="217"/>
        <w:ind w:left="0" w:right="0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7</w:t>
      </w:r>
    </w:p>
    <w:p>
      <w:pPr>
        <w:spacing w:after="0"/>
        <w:jc w:val="center"/>
        <w:rPr>
          <w:rFonts w:ascii="Times New Roman"/>
          <w:sz w:val="24"/>
        </w:rPr>
        <w:sectPr>
          <w:pgSz w:w="11890" w:h="17010"/>
          <w:pgMar w:top="1620" w:right="1680" w:bottom="280" w:left="1680" w:header="720" w:footer="720" w:gutter="0"/>
          <w:cols w:equalWidth="0" w:num="1">
            <w:col w:w="8530"/>
          </w:cols>
        </w:sectPr>
      </w:pPr>
    </w:p>
    <w:p>
      <w:pPr>
        <w:pStyle w:val="2"/>
        <w:rPr>
          <w:rFonts w:ascii="Times New Roman"/>
          <w:sz w:val="20"/>
        </w:rPr>
      </w:pPr>
      <w:r>
        <w:drawing>
          <wp:anchor distT="0" distB="0" distL="0" distR="0" simplePos="0" relativeHeight="268408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93095"/>
            <wp:effectExtent l="0" t="0" r="0" b="0"/>
            <wp:wrapNone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spacing w:before="217"/>
        <w:ind w:left="0" w:right="0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8</w:t>
      </w:r>
    </w:p>
    <w:p>
      <w:pPr>
        <w:spacing w:after="0"/>
        <w:jc w:val="center"/>
        <w:rPr>
          <w:rFonts w:ascii="Times New Roman"/>
          <w:sz w:val="24"/>
        </w:rPr>
        <w:sectPr>
          <w:pgSz w:w="11880" w:h="17000"/>
          <w:pgMar w:top="1600" w:right="1680" w:bottom="280" w:left="1680" w:header="720" w:footer="720" w:gutter="0"/>
          <w:cols w:equalWidth="0" w:num="1">
            <w:col w:w="8520"/>
          </w:cols>
        </w:sectPr>
      </w:pPr>
    </w:p>
    <w:p>
      <w:pPr>
        <w:pStyle w:val="2"/>
        <w:rPr>
          <w:rFonts w:ascii="Times New Roman"/>
          <w:sz w:val="20"/>
        </w:rPr>
      </w:pPr>
      <w:r>
        <w:pict>
          <v:group id="_x0000_s1099" o:spid="_x0000_s1099" o:spt="203" style="position:absolute;left:0pt;margin-left:0pt;margin-top:0pt;height:849.4pt;width:594.5pt;mso-position-horizontal-relative:page;mso-position-vertical-relative:page;z-index:-26624;mso-width-relative:page;mso-height-relative:page;" coordsize="11890,16988">
            <o:lock v:ext="edit"/>
            <v:shape id="_x0000_s1100" o:spid="_x0000_s1100" o:spt="75" type="#_x0000_t75" style="position:absolute;left:0;top:0;height:16988;width:11890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line id="_x0000_s1101" o:spid="_x0000_s1101" o:spt="20" style="position:absolute;left:0;top:16945;height:0;width:7352;" stroked="t" coordsize="21600,21600">
              <v:path arrowok="t"/>
              <v:fill focussize="0,0"/>
              <v:stroke weight="4.21pt" color="#FFFFFF"/>
              <v:imagedata o:title=""/>
              <o:lock v:ext="edit"/>
            </v:line>
            <v:shape id="_x0000_s1102" o:spid="_x0000_s1102" style="position:absolute;left:8713;top:2021;height:13939;width:2723;" fillcolor="#FFFFFF" filled="t" stroked="f" coordorigin="8713,2021" coordsize="2723,13939" path="m10054,2021l10033,2021,10033,2032,10054,2032,10054,2021m11436,14882l8713,14882,8713,15960,11436,15960,11436,14882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3"/>
        <w:rPr>
          <w:rFonts w:ascii="Times New Roman"/>
          <w:sz w:val="29"/>
        </w:rPr>
      </w:pPr>
    </w:p>
    <w:p>
      <w:pPr>
        <w:spacing w:before="90"/>
        <w:ind w:left="0" w:right="1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9</w:t>
      </w:r>
    </w:p>
    <w:p>
      <w:pPr>
        <w:spacing w:after="0"/>
        <w:jc w:val="center"/>
        <w:rPr>
          <w:rFonts w:ascii="Times New Roman"/>
          <w:sz w:val="24"/>
        </w:rPr>
        <w:sectPr>
          <w:pgSz w:w="11890" w:h="16990"/>
          <w:pgMar w:top="1620" w:right="1680" w:bottom="280" w:left="1680" w:header="720" w:footer="720" w:gutter="0"/>
          <w:cols w:equalWidth="0" w:num="1">
            <w:col w:w="8530"/>
          </w:cols>
        </w:sectPr>
      </w:pPr>
    </w:p>
    <w:p>
      <w:pPr>
        <w:pStyle w:val="2"/>
        <w:rPr>
          <w:rFonts w:ascii="Times New Roman"/>
          <w:sz w:val="20"/>
        </w:rPr>
      </w:pPr>
      <w:r>
        <w:drawing>
          <wp:anchor distT="0" distB="0" distL="0" distR="0" simplePos="0" relativeHeight="268408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808335"/>
            <wp:effectExtent l="0" t="0" r="0" b="0"/>
            <wp:wrapNone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7"/>
        <w:rPr>
          <w:rFonts w:ascii="Times New Roman"/>
          <w:sz w:val="20"/>
        </w:rPr>
      </w:pPr>
    </w:p>
    <w:p>
      <w:pPr>
        <w:spacing w:before="0"/>
        <w:ind w:left="4138" w:right="4139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10</w:t>
      </w:r>
    </w:p>
    <w:p>
      <w:pPr>
        <w:spacing w:after="0"/>
        <w:jc w:val="center"/>
        <w:rPr>
          <w:rFonts w:ascii="Times New Roman"/>
          <w:sz w:val="24"/>
        </w:rPr>
        <w:sectPr>
          <w:pgSz w:w="11920" w:h="17030"/>
          <w:pgMar w:top="1620" w:right="1680" w:bottom="280" w:left="1680" w:header="720" w:footer="720" w:gutter="0"/>
          <w:cols w:equalWidth="0" w:num="1">
            <w:col w:w="8560"/>
          </w:cols>
        </w:sectPr>
      </w:pPr>
    </w:p>
    <w:p>
      <w:pPr>
        <w:pStyle w:val="2"/>
        <w:rPr>
          <w:rFonts w:ascii="Times New Roman"/>
          <w:sz w:val="20"/>
        </w:rPr>
      </w:pPr>
      <w:r>
        <w:pict>
          <v:group id="_x0000_s1103" o:spid="_x0000_s1103" o:spt="203" style="position:absolute;left:0pt;margin-left:0pt;margin-top:0pt;height:850.1pt;width:595.7pt;mso-position-horizontal-relative:page;mso-position-vertical-relative:page;z-index:-25600;mso-width-relative:page;mso-height-relative:page;" coordsize="11914,17002">
            <o:lock v:ext="edit"/>
            <v:shape id="_x0000_s1104" o:spid="_x0000_s1104" o:spt="75" type="#_x0000_t75" style="position:absolute;left:0;top:0;height:17002;width:11914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105" o:spid="_x0000_s1105" style="position:absolute;left:0;top:0;height:16935;width:11914;" fillcolor="#FFFFFF" filled="t" stroked="f" coordsize="11914,16935" path="m11845,14871l0,14871,0,16934,11845,16934,11845,14871m11914,1480l11803,1480,11803,0,0,0,0,1993,11373,1993,11373,2129,11914,2129,11914,1480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spacing w:before="217"/>
        <w:ind w:left="4138" w:right="4139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11</w:t>
      </w:r>
    </w:p>
    <w:p>
      <w:pPr>
        <w:spacing w:after="0"/>
        <w:jc w:val="center"/>
        <w:rPr>
          <w:rFonts w:ascii="Times New Roman"/>
          <w:sz w:val="24"/>
        </w:rPr>
        <w:sectPr>
          <w:pgSz w:w="11920" w:h="17010"/>
          <w:pgMar w:top="1620" w:right="1680" w:bottom="280" w:left="1680" w:header="720" w:footer="720" w:gutter="0"/>
          <w:cols w:equalWidth="0" w:num="1">
            <w:col w:w="8560"/>
          </w:cols>
        </w:sectPr>
      </w:pPr>
    </w:p>
    <w:p>
      <w:pPr>
        <w:pStyle w:val="2"/>
        <w:rPr>
          <w:rFonts w:ascii="Times New Roman"/>
          <w:sz w:val="20"/>
        </w:rPr>
      </w:pPr>
      <w:r>
        <w:drawing>
          <wp:anchor distT="0" distB="0" distL="0" distR="0" simplePos="0" relativeHeight="268409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781030"/>
            <wp:effectExtent l="0" t="0" r="0" b="0"/>
            <wp:wrapNone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183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3"/>
        <w:rPr>
          <w:rFonts w:ascii="Times New Roman"/>
          <w:sz w:val="29"/>
        </w:rPr>
      </w:pPr>
    </w:p>
    <w:p>
      <w:pPr>
        <w:spacing w:before="90"/>
        <w:ind w:left="4139" w:right="4138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12</w:t>
      </w:r>
    </w:p>
    <w:p>
      <w:pPr>
        <w:spacing w:after="0"/>
        <w:jc w:val="center"/>
        <w:rPr>
          <w:rFonts w:ascii="Times New Roman"/>
          <w:sz w:val="24"/>
        </w:rPr>
        <w:sectPr>
          <w:pgSz w:w="11920" w:h="16980"/>
          <w:pgMar w:top="1600" w:right="1680" w:bottom="280" w:left="1680" w:header="720" w:footer="720" w:gutter="0"/>
          <w:cols w:equalWidth="0" w:num="1">
            <w:col w:w="8560"/>
          </w:cols>
        </w:sectPr>
      </w:pPr>
    </w:p>
    <w:p>
      <w:pPr>
        <w:pStyle w:val="2"/>
        <w:rPr>
          <w:rFonts w:ascii="Times New Roman"/>
          <w:sz w:val="20"/>
        </w:rPr>
      </w:pPr>
      <w:r>
        <w:pict>
          <v:group id="_x0000_s1106" o:spid="_x0000_s1106" o:spt="203" style="position:absolute;left:0pt;margin-left:0pt;margin-top:0pt;height:849.6pt;width:594.75pt;mso-position-horizontal-relative:page;mso-position-vertical-relative:page;z-index:-25600;mso-width-relative:page;mso-height-relative:page;" coordsize="11895,16992">
            <o:lock v:ext="edit"/>
            <v:shape id="_x0000_s1107" o:spid="_x0000_s1107" o:spt="75" type="#_x0000_t75" style="position:absolute;left:0;top:0;height:16992;width:11895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rect id="_x0000_s1108" o:spid="_x0000_s1108" o:spt="1" style="position:absolute;left:0;top:14724;height:2268;width:11895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spacing w:before="217"/>
        <w:ind w:left="4130" w:right="4129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13</w:t>
      </w:r>
    </w:p>
    <w:p>
      <w:pPr>
        <w:spacing w:after="0"/>
        <w:jc w:val="center"/>
        <w:rPr>
          <w:rFonts w:ascii="Times New Roman"/>
          <w:sz w:val="24"/>
        </w:rPr>
        <w:sectPr>
          <w:pgSz w:w="11900" w:h="17000"/>
          <w:pgMar w:top="1600" w:right="1680" w:bottom="280" w:left="1680" w:header="720" w:footer="720" w:gutter="0"/>
          <w:cols w:equalWidth="0" w:num="1">
            <w:col w:w="8540"/>
          </w:cols>
        </w:sectPr>
      </w:pPr>
    </w:p>
    <w:p>
      <w:pPr>
        <w:pStyle w:val="2"/>
        <w:rPr>
          <w:rFonts w:ascii="Times New Roman"/>
          <w:sz w:val="20"/>
        </w:rPr>
      </w:pPr>
      <w:r>
        <w:drawing>
          <wp:anchor distT="0" distB="0" distL="0" distR="0" simplePos="0" relativeHeight="268409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975" cy="10789920"/>
            <wp:effectExtent l="0" t="0" r="0" b="0"/>
            <wp:wrapNone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0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7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spacing w:before="217"/>
        <w:ind w:left="4125" w:right="4125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14</w:t>
      </w:r>
    </w:p>
    <w:p>
      <w:pPr>
        <w:spacing w:after="0"/>
        <w:jc w:val="center"/>
        <w:rPr>
          <w:rFonts w:ascii="Times New Roman"/>
          <w:sz w:val="24"/>
        </w:rPr>
        <w:sectPr>
          <w:pgSz w:w="11890" w:h="17000"/>
          <w:pgMar w:top="1600" w:right="1680" w:bottom="280" w:left="1680" w:header="720" w:footer="720" w:gutter="0"/>
          <w:cols w:equalWidth="0" w:num="1">
            <w:col w:w="8530"/>
          </w:cols>
        </w:sectPr>
      </w:pPr>
    </w:p>
    <w:p>
      <w:pPr>
        <w:pStyle w:val="2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3605" cy="8722995"/>
            <wp:effectExtent l="0" t="0" r="0" b="0"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178" cy="872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10"/>
        <w:rPr>
          <w:rFonts w:ascii="Times New Roman"/>
          <w:sz w:val="25"/>
        </w:rPr>
      </w:pPr>
    </w:p>
    <w:p>
      <w:pPr>
        <w:spacing w:before="90"/>
        <w:ind w:left="4690" w:right="4749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15</w:t>
      </w:r>
    </w:p>
    <w:p>
      <w:pPr>
        <w:spacing w:after="0"/>
        <w:jc w:val="center"/>
        <w:rPr>
          <w:rFonts w:ascii="Times New Roman"/>
          <w:sz w:val="24"/>
        </w:rPr>
        <w:sectPr>
          <w:pgSz w:w="11900" w:h="16840"/>
          <w:pgMar w:top="1580" w:right="1060" w:bottom="280" w:left="1120" w:header="720" w:footer="720" w:gutter="0"/>
          <w:cols w:equalWidth="0" w:num="1">
            <w:col w:w="9720"/>
          </w:cols>
        </w:sectPr>
      </w:pPr>
    </w:p>
    <w:p>
      <w:pPr>
        <w:pStyle w:val="2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8055" cy="8860155"/>
            <wp:effectExtent l="0" t="0" r="0" b="0"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2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392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6"/>
        <w:rPr>
          <w:rFonts w:ascii="Times New Roman"/>
          <w:sz w:val="17"/>
        </w:rPr>
      </w:pPr>
    </w:p>
    <w:p>
      <w:pPr>
        <w:spacing w:before="90"/>
        <w:ind w:left="4690" w:right="4749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16</w:t>
      </w:r>
    </w:p>
    <w:p>
      <w:pPr>
        <w:spacing w:after="0"/>
        <w:jc w:val="center"/>
        <w:rPr>
          <w:rFonts w:ascii="Times New Roman"/>
          <w:sz w:val="24"/>
        </w:rPr>
        <w:sectPr>
          <w:pgSz w:w="11900" w:h="16840"/>
          <w:pgMar w:top="1460" w:right="1060" w:bottom="280" w:left="1120" w:header="720" w:footer="720" w:gutter="0"/>
          <w:cols w:equalWidth="0" w:num="1">
            <w:col w:w="9720"/>
          </w:cols>
        </w:sectPr>
      </w:pPr>
    </w:p>
    <w:p>
      <w:pPr>
        <w:pStyle w:val="2"/>
        <w:rPr>
          <w:rFonts w:ascii="Times New Roman"/>
          <w:sz w:val="20"/>
        </w:rPr>
      </w:pPr>
      <w:r>
        <w:pict>
          <v:group id="_x0000_s1109" o:spid="_x0000_s1109" o:spt="203" style="position:absolute;left:0pt;margin-left:0pt;margin-top:0pt;height:594.75pt;width:849.4pt;mso-position-horizontal-relative:page;mso-position-vertical-relative:page;z-index:-25600;mso-width-relative:page;mso-height-relative:page;" coordsize="16988,11895">
            <o:lock v:ext="edit"/>
            <v:shape id="_x0000_s1110" o:spid="_x0000_s1110" o:spt="75" type="#_x0000_t75" style="position:absolute;left:0;top:0;height:11895;width:16988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11" o:spid="_x0000_s1111" style="position:absolute;left:0;top:1466;height:2601;width:16988;" fillcolor="#FFFFFF" filled="t" stroked="f" coordorigin="0,1466" coordsize="16988,2601" path="m1466,2261l0,2261,0,4067,1466,4067,1466,2261m16987,1466l12026,1466,12026,2758,16987,2758,16987,1466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spacing w:before="216"/>
        <w:ind w:left="5915" w:right="5915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17</w:t>
      </w:r>
    </w:p>
    <w:p>
      <w:pPr>
        <w:spacing w:after="0"/>
        <w:jc w:val="center"/>
        <w:rPr>
          <w:rFonts w:ascii="Times New Roman"/>
          <w:sz w:val="24"/>
        </w:rPr>
        <w:sectPr>
          <w:pgSz w:w="16990" w:h="11900" w:orient="landscape"/>
          <w:pgMar w:top="1100" w:right="2440" w:bottom="280" w:left="2440" w:header="720" w:footer="720" w:gutter="0"/>
          <w:cols w:equalWidth="0" w:num="1">
            <w:col w:w="12110"/>
          </w:cols>
        </w:sectPr>
      </w:pPr>
    </w:p>
    <w:p>
      <w:pPr>
        <w:pStyle w:val="2"/>
        <w:rPr>
          <w:rFonts w:ascii="Times New Roman"/>
          <w:sz w:val="20"/>
        </w:rPr>
      </w:pPr>
      <w:r>
        <w:drawing>
          <wp:anchor distT="0" distB="0" distL="0" distR="0" simplePos="0" relativeHeight="268409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3095" cy="7546975"/>
            <wp:effectExtent l="0" t="0" r="0" b="0"/>
            <wp:wrapNone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2968" cy="75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spacing w:before="216"/>
        <w:ind w:left="5920" w:right="5920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18</w:t>
      </w:r>
    </w:p>
    <w:p>
      <w:pPr>
        <w:spacing w:after="0"/>
        <w:jc w:val="center"/>
        <w:rPr>
          <w:rFonts w:ascii="Times New Roman"/>
          <w:sz w:val="24"/>
        </w:rPr>
        <w:sectPr>
          <w:pgSz w:w="17000" w:h="11890" w:orient="landscape"/>
          <w:pgMar w:top="1100" w:right="2440" w:bottom="280" w:left="2440" w:header="720" w:footer="720" w:gutter="0"/>
          <w:cols w:equalWidth="0" w:num="1">
            <w:col w:w="12120"/>
          </w:cols>
        </w:sectPr>
      </w:pPr>
    </w:p>
    <w:p>
      <w:pPr>
        <w:pStyle w:val="2"/>
        <w:rPr>
          <w:rFonts w:ascii="Times New Roman"/>
          <w:sz w:val="20"/>
        </w:rPr>
      </w:pPr>
      <w:r>
        <w:drawing>
          <wp:anchor distT="0" distB="0" distL="0" distR="0" simplePos="0" relativeHeight="268409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1030" cy="7552690"/>
            <wp:effectExtent l="0" t="0" r="0" b="0"/>
            <wp:wrapNone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776" cy="755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spacing w:before="216"/>
        <w:ind w:left="5909" w:right="5910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19</w:t>
      </w:r>
    </w:p>
    <w:p>
      <w:pPr>
        <w:spacing w:after="0"/>
        <w:jc w:val="center"/>
        <w:rPr>
          <w:rFonts w:ascii="Times New Roman"/>
          <w:sz w:val="24"/>
        </w:rPr>
        <w:sectPr>
          <w:pgSz w:w="16980" w:h="11900" w:orient="landscape"/>
          <w:pgMar w:top="1100" w:right="2440" w:bottom="280" w:left="2440" w:header="720" w:footer="720" w:gutter="0"/>
          <w:cols w:equalWidth="0" w:num="1">
            <w:col w:w="12100"/>
          </w:cols>
        </w:sectPr>
      </w:pPr>
    </w:p>
    <w:p>
      <w:pPr>
        <w:pStyle w:val="2"/>
        <w:rPr>
          <w:rFonts w:ascii="Times New Roman"/>
          <w:sz w:val="20"/>
        </w:rPr>
      </w:pPr>
      <w:r>
        <w:drawing>
          <wp:anchor distT="0" distB="0" distL="0" distR="0" simplePos="0" relativeHeight="268409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5790" cy="7562215"/>
            <wp:effectExtent l="0" t="0" r="0" b="0"/>
            <wp:wrapNone/>
            <wp:docPr id="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6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5535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6"/>
        <w:rPr>
          <w:rFonts w:ascii="Times New Roman"/>
          <w:sz w:val="20"/>
        </w:rPr>
      </w:pPr>
    </w:p>
    <w:p>
      <w:pPr>
        <w:spacing w:before="0"/>
        <w:ind w:left="5899" w:right="5900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20</w:t>
      </w:r>
    </w:p>
    <w:sectPr>
      <w:pgSz w:w="16960" w:h="11910" w:orient="landscape"/>
      <w:pgMar w:top="1100" w:right="2440" w:bottom="280" w:left="2440" w:header="720" w:footer="720" w:gutter="0"/>
      <w:cols w:equalWidth="0" w:num="1">
        <w:col w:w="120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86"/>
    <w:family w:val="swiss"/>
    <w:pitch w:val="default"/>
    <w:sig w:usb0="A00002EF" w:usb1="4000207B" w:usb2="00000000" w:usb3="00000000" w:csb0="2000009F" w:csb1="00000000"/>
  </w:font>
  <w:font w:name="Calibri">
    <w:panose1 w:val="020F0502020204030204"/>
    <w:charset w:val="86"/>
    <w:family w:val="swiss"/>
    <w:pitch w:val="default"/>
    <w:sig w:usb0="A00002EF" w:usb1="4000207B" w:usb2="00000000" w:usb3="00000000" w:csb0="2000009F" w:csb1="00000000"/>
  </w:font>
  <w:font w:name="Droid Sans Fallback">
    <w:altName w:val="Courier New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roman"/>
    <w:pitch w:val="default"/>
    <w:sig w:usb0="00007A87" w:usb1="80000000" w:usb2="00000008" w:usb3="00000000" w:csb0="400001FF" w:csb1="FFFF0000"/>
  </w:font>
  <w:font w:name="Noto Sans Mono CJK JP Regular">
    <w:altName w:val="Courier New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Noto Sans CJK JP Regular">
    <w:altName w:val="Courier New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Segoe Print">
    <w:altName w:val="Verdana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仿宋">
    <w:altName w:val="Arial Unicode MS"/>
    <w:panose1 w:val="02010609060101010101"/>
    <w:charset w:val="86"/>
    <w:family w:val="roman"/>
    <w:pitch w:val="default"/>
    <w:sig w:usb0="00000000" w:usb1="00000000" w:usb2="00000016" w:usb3="00000000" w:csb0="00040001" w:csb1="00000000"/>
  </w:font>
  <w:font w:name="楷体">
    <w:altName w:val="楷体_GB2312"/>
    <w:panose1 w:val="02010609060101010101"/>
    <w:charset w:val="86"/>
    <w:family w:val="roman"/>
    <w:pitch w:val="default"/>
    <w:sig w:usb0="00000000" w:usb1="00000000" w:usb2="00000016" w:usb3="00000000" w:csb0="00040001" w:csb1="00000000"/>
  </w:font>
  <w:font w:name="TTD3FAo00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TD3FDo00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TD3FEo00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TD3FDo01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TD400o00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172A27"/>
    <w:rsid w:val="0E0C4263"/>
    <w:rsid w:val="109739A7"/>
    <w:rsid w:val="18527B29"/>
    <w:rsid w:val="1FE27DBB"/>
    <w:rsid w:val="21667D1D"/>
    <w:rsid w:val="2AFC1CF2"/>
    <w:rsid w:val="39AD442B"/>
    <w:rsid w:val="46AE40CB"/>
    <w:rsid w:val="47795303"/>
    <w:rsid w:val="4B87504F"/>
    <w:rsid w:val="54703B6B"/>
    <w:rsid w:val="59BF182D"/>
    <w:rsid w:val="6349320B"/>
    <w:rsid w:val="76515689"/>
    <w:rsid w:val="775847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Noto Sans Mono CJK JP Regular" w:hAnsi="Noto Sans Mono CJK JP Regular" w:eastAsia="Noto Sans Mono CJK JP Regular" w:cs="Noto Sans Mono CJK JP Regular"/>
      <w:sz w:val="22"/>
      <w:szCs w:val="22"/>
      <w:lang w:val="en-US" w:eastAsia="en-US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Noto Sans Mono CJK JP Regular" w:hAnsi="Noto Sans Mono CJK JP Regular" w:eastAsia="Noto Sans Mono CJK JP Regular" w:cs="Noto Sans Mono CJK JP Regular"/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8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112"/>
    <customShpInfo spid="_x0000_s1026"/>
    <customShpInfo spid="_x0000_s1027"/>
    <customShpInfo spid="_x0000_s1093"/>
    <customShpInfo spid="_x0000_s1094"/>
    <customShpInfo spid="_x0000_s1092"/>
    <customShpInfo spid="_x0000_s1096"/>
    <customShpInfo spid="_x0000_s1097"/>
    <customShpInfo spid="_x0000_s1098"/>
    <customShpInfo spid="_x0000_s1095"/>
    <customShpInfo spid="_x0000_s1100"/>
    <customShpInfo spid="_x0000_s1101"/>
    <customShpInfo spid="_x0000_s1102"/>
    <customShpInfo spid="_x0000_s1099"/>
    <customShpInfo spid="_x0000_s1104"/>
    <customShpInfo spid="_x0000_s1105"/>
    <customShpInfo spid="_x0000_s1103"/>
    <customShpInfo spid="_x0000_s1107"/>
    <customShpInfo spid="_x0000_s1108"/>
    <customShpInfo spid="_x0000_s1106"/>
    <customShpInfo spid="_x0000_s1110"/>
    <customShpInfo spid="_x0000_s1111"/>
    <customShpInfo spid="_x0000_s110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2018-03-01T01:10:00Z</dcterms:created>
  <dc:creator>xykj-017</dc:creator>
  <cp:lastModifiedBy>Administrator</cp:lastModifiedBy>
  <cp:lastPrinted>2018-03-02T02:47:00Z</cp:lastPrinted>
  <dcterms:modified xsi:type="dcterms:W3CDTF">2018-03-02T08:56:07Z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2018-02-23T00:00:00Z</vt:filetime>
  </property>
  <property fmtid="{D5CDD505-2E9C-101B-9397-08002B2CF9AE}" pid="3" name="Creator">
    <vt:lpwstr>ScandAll PRO V2.0.5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2052-10.1.0.7022</vt:lpwstr>
  </property>
</Properties>
</file>