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pPr>
      <w:r>
        <w:t>附件1</w:t>
      </w:r>
    </w:p>
    <w:p>
      <w:pPr>
        <w:ind w:firstLine="0" w:firstLineChars="0"/>
        <w:jc w:val="center"/>
        <w:rPr>
          <w:b/>
          <w:sz w:val="36"/>
        </w:rPr>
      </w:pPr>
      <w:r>
        <w:rPr>
          <w:b/>
          <w:sz w:val="36"/>
        </w:rPr>
        <w:t>综合说明</w:t>
      </w:r>
    </w:p>
    <w:p>
      <w:pPr>
        <w:ind w:firstLine="562"/>
        <w:rPr>
          <w:b/>
        </w:rPr>
      </w:pPr>
      <w:r>
        <w:rPr>
          <w:b/>
        </w:rPr>
        <w:t>一、工作开展情况</w:t>
      </w:r>
    </w:p>
    <w:p>
      <w:pPr>
        <w:ind w:firstLine="560"/>
      </w:pPr>
      <w:r>
        <w:t>根据《浙江省水域保护办法》（浙江省人民政府令第375号）和《浙江省水利厅印发关于进一步明确浙江省有关水域管理职责的通知》（浙水河湖〔2020〕6号）等文件精神，2020年12月</w:t>
      </w:r>
      <w:r>
        <w:rPr>
          <w:rFonts w:hint="eastAsia"/>
        </w:rPr>
        <w:t>文成县</w:t>
      </w:r>
      <w:r>
        <w:t>水利局委托</w:t>
      </w:r>
      <w:r>
        <w:rPr>
          <w:rFonts w:hint="eastAsia"/>
        </w:rPr>
        <w:t>浙江省</w:t>
      </w:r>
      <w:r>
        <w:t>水利</w:t>
      </w:r>
      <w:r>
        <w:rPr>
          <w:rFonts w:hint="eastAsia"/>
        </w:rPr>
        <w:t>水电</w:t>
      </w:r>
      <w:r>
        <w:t>勘测设计院开展</w:t>
      </w:r>
      <w:r>
        <w:rPr>
          <w:rFonts w:hint="eastAsia"/>
        </w:rPr>
        <w:t>县级</w:t>
      </w:r>
      <w:r>
        <w:t>重要水域名录划定工作。</w:t>
      </w:r>
      <w:r>
        <w:rPr>
          <w:rFonts w:hint="eastAsia"/>
        </w:rPr>
        <w:t>浙江省</w:t>
      </w:r>
      <w:r>
        <w:t>水利</w:t>
      </w:r>
      <w:r>
        <w:rPr>
          <w:rFonts w:hint="eastAsia"/>
        </w:rPr>
        <w:t>水电</w:t>
      </w:r>
      <w:r>
        <w:t>勘测设计院根据相关法律法规要求，以</w:t>
      </w:r>
      <w:r>
        <w:rPr>
          <w:rFonts w:hint="eastAsia"/>
        </w:rPr>
        <w:t>文成县</w:t>
      </w:r>
      <w:r>
        <w:t>2020年水域调查成果数据为基础，积极与省水利厅、</w:t>
      </w:r>
      <w:r>
        <w:rPr>
          <w:rFonts w:hint="eastAsia"/>
        </w:rPr>
        <w:t>市水利局、县</w:t>
      </w:r>
      <w:r>
        <w:t>自然资源</w:t>
      </w:r>
      <w:r>
        <w:rPr>
          <w:rFonts w:hint="eastAsia"/>
          <w:lang w:val="en-US" w:eastAsia="zh-CN"/>
        </w:rPr>
        <w:t>和</w:t>
      </w:r>
      <w:bookmarkStart w:id="0" w:name="_GoBack"/>
      <w:bookmarkEnd w:id="0"/>
      <w:r>
        <w:t>规划局、</w:t>
      </w:r>
      <w:r>
        <w:rPr>
          <w:rFonts w:hint="eastAsia"/>
        </w:rPr>
        <w:t>县</w:t>
      </w:r>
      <w:r>
        <w:t>生态环境局</w:t>
      </w:r>
      <w:r>
        <w:rPr>
          <w:rFonts w:hint="eastAsia"/>
        </w:rPr>
        <w:t>等</w:t>
      </w:r>
      <w:r>
        <w:t>部门对接，结合实际情况确定</w:t>
      </w:r>
      <w:r>
        <w:rPr>
          <w:rFonts w:hint="eastAsia"/>
        </w:rPr>
        <w:t>县</w:t>
      </w:r>
      <w:r>
        <w:t>级重要水域数量、分类、分段，于2021年2月底完成《</w:t>
      </w:r>
      <w:r>
        <w:rPr>
          <w:rFonts w:hint="eastAsia"/>
        </w:rPr>
        <w:t>文成县县级</w:t>
      </w:r>
      <w:r>
        <w:t>重要水域名录划定成果报告》初稿，提交</w:t>
      </w:r>
      <w:r>
        <w:rPr>
          <w:rFonts w:hint="eastAsia"/>
        </w:rPr>
        <w:t>文成县县</w:t>
      </w:r>
      <w:r>
        <w:t>级重要水域名录.gdb数据库、</w:t>
      </w:r>
      <w:r>
        <w:rPr>
          <w:rFonts w:hint="eastAsia"/>
        </w:rPr>
        <w:t>文成县县</w:t>
      </w:r>
      <w:r>
        <w:t>级重要水域基础信息表和</w:t>
      </w:r>
      <w:r>
        <w:rPr>
          <w:rFonts w:hint="eastAsia"/>
        </w:rPr>
        <w:t>文成县县</w:t>
      </w:r>
      <w:r>
        <w:t>级重要水域空间分布图。2021年4月，</w:t>
      </w:r>
      <w:r>
        <w:rPr>
          <w:rFonts w:hint="eastAsia"/>
        </w:rPr>
        <w:t>文成县</w:t>
      </w:r>
      <w:r>
        <w:t>水利局组织召开《</w:t>
      </w:r>
      <w:r>
        <w:rPr>
          <w:rFonts w:hint="eastAsia"/>
        </w:rPr>
        <w:t>文成县县</w:t>
      </w:r>
      <w:r>
        <w:t>级重要水域名录划定成果报告》评审会议，会后设计单位根据评审意见对报告进行修改完善，并先后征求了</w:t>
      </w:r>
      <w:r>
        <w:rPr>
          <w:rFonts w:hint="eastAsia"/>
        </w:rPr>
        <w:t>市县级</w:t>
      </w:r>
      <w:r>
        <w:t>有关部门及各县（市、区）意见，2021年5月完成《</w:t>
      </w:r>
      <w:r>
        <w:rPr>
          <w:rFonts w:hint="eastAsia"/>
        </w:rPr>
        <w:t>文成县县</w:t>
      </w:r>
      <w:r>
        <w:t>级重要水域名录划定成果报告》报批稿。</w:t>
      </w:r>
    </w:p>
    <w:p>
      <w:pPr>
        <w:ind w:firstLine="562"/>
        <w:rPr>
          <w:b/>
        </w:rPr>
      </w:pPr>
      <w:r>
        <w:rPr>
          <w:b/>
        </w:rPr>
        <w:t>二、</w:t>
      </w:r>
      <w:r>
        <w:rPr>
          <w:rFonts w:hint="eastAsia"/>
          <w:b/>
        </w:rPr>
        <w:t>县</w:t>
      </w:r>
      <w:r>
        <w:rPr>
          <w:b/>
        </w:rPr>
        <w:t>级重要水域划定对象</w:t>
      </w:r>
    </w:p>
    <w:p>
      <w:pPr>
        <w:ind w:firstLine="562"/>
        <w:rPr>
          <w:b/>
        </w:rPr>
      </w:pPr>
      <w:r>
        <w:rPr>
          <w:b/>
        </w:rPr>
        <w:t>（一）重要水域</w:t>
      </w:r>
    </w:p>
    <w:p>
      <w:pPr>
        <w:ind w:firstLine="560"/>
      </w:pPr>
      <w:r>
        <w:t>根据《浙江省水域保护办法》第八条，重要水域共包含七类水域：</w:t>
      </w:r>
    </w:p>
    <w:p>
      <w:pPr>
        <w:ind w:firstLine="560"/>
      </w:pPr>
      <w:r>
        <w:rPr>
          <w:rFonts w:hint="eastAsia"/>
        </w:rPr>
        <w:t>（1）</w:t>
      </w:r>
      <w:r>
        <w:rPr>
          <w:rFonts w:hint="eastAsia"/>
          <w:b/>
        </w:rPr>
        <w:t>饮用水水源保护区内的水域；</w:t>
      </w:r>
    </w:p>
    <w:p>
      <w:pPr>
        <w:ind w:firstLine="560"/>
      </w:pPr>
      <w:r>
        <w:rPr>
          <w:rFonts w:hint="eastAsia"/>
        </w:rPr>
        <w:t>（2）</w:t>
      </w:r>
      <w:r>
        <w:rPr>
          <w:rFonts w:hint="eastAsia"/>
          <w:b/>
          <w:bCs/>
        </w:rPr>
        <w:t>国家和省级风景名胜区核心景区、省级以上自然保护区内的水域，主要包括：</w:t>
      </w:r>
      <w:r>
        <w:rPr>
          <w:rFonts w:hint="eastAsia"/>
        </w:rPr>
        <w:t>①国家公园、自然保护区</w:t>
      </w:r>
      <w:r>
        <w:rPr>
          <w:rFonts w:hint="eastAsia"/>
          <w:b/>
        </w:rPr>
        <w:t>核心保护区</w:t>
      </w:r>
      <w:r>
        <w:rPr>
          <w:rFonts w:hint="eastAsia"/>
        </w:rPr>
        <w:t>内的水域；②风景名胜区</w:t>
      </w:r>
      <w:r>
        <w:rPr>
          <w:rFonts w:hint="eastAsia"/>
          <w:b/>
        </w:rPr>
        <w:t>严格管控区</w:t>
      </w:r>
      <w:r>
        <w:rPr>
          <w:rFonts w:hint="eastAsia"/>
        </w:rPr>
        <w:t>内的水域。</w:t>
      </w:r>
    </w:p>
    <w:p>
      <w:pPr>
        <w:ind w:firstLine="560"/>
      </w:pPr>
      <w:r>
        <w:rPr>
          <w:rFonts w:hint="eastAsia"/>
        </w:rPr>
        <w:t>（3）蓄滞洪区；</w:t>
      </w:r>
    </w:p>
    <w:p>
      <w:pPr>
        <w:ind w:firstLine="562"/>
      </w:pPr>
      <w:r>
        <w:rPr>
          <w:rFonts w:hint="eastAsia"/>
          <w:b/>
          <w:bCs/>
        </w:rPr>
        <w:t>（4）省级、市级河道以及其他行洪排涝骨干河道，主要包括：</w:t>
      </w:r>
      <w:r>
        <w:rPr>
          <w:rFonts w:hint="eastAsia"/>
        </w:rPr>
        <w:t>①已公布的列入省级和市级河道名录的河道；②各地根据相关水利规划、河道等级规模和行洪排涝重要性等因素确定的河道。</w:t>
      </w:r>
    </w:p>
    <w:p>
      <w:pPr>
        <w:ind w:firstLine="562"/>
      </w:pPr>
      <w:r>
        <w:rPr>
          <w:rFonts w:hint="eastAsia"/>
          <w:b/>
          <w:bCs/>
        </w:rPr>
        <w:t>（5）总库容10万立方米以上的水库</w:t>
      </w:r>
      <w:r>
        <w:rPr>
          <w:rFonts w:hint="eastAsia"/>
        </w:rPr>
        <w:t>；</w:t>
      </w:r>
    </w:p>
    <w:p>
      <w:pPr>
        <w:ind w:firstLine="562"/>
      </w:pPr>
      <w:r>
        <w:rPr>
          <w:rFonts w:hint="eastAsia"/>
          <w:b/>
          <w:bCs/>
        </w:rPr>
        <w:t>（6）面积50万平方米以上的湖泊</w:t>
      </w:r>
      <w:r>
        <w:rPr>
          <w:rFonts w:hint="eastAsia"/>
        </w:rPr>
        <w:t>，主要包括：①浙江省境内水域面积50万平方米以上的湖泊；②水域总面积50万平方米以上，并列入浙江省湖泊名录的跨省湖泊。</w:t>
      </w:r>
    </w:p>
    <w:p>
      <w:pPr>
        <w:ind w:firstLine="560"/>
      </w:pPr>
      <w:r>
        <w:rPr>
          <w:rFonts w:hint="eastAsia"/>
        </w:rPr>
        <w:t>（7）其他环境敏感区内的水域：自然公园、生态保护红线及其他环境敏感区内需特别保护的水域。</w:t>
      </w:r>
    </w:p>
    <w:p>
      <w:pPr>
        <w:ind w:firstLine="562"/>
        <w:rPr>
          <w:b/>
        </w:rPr>
      </w:pPr>
      <w:r>
        <w:rPr>
          <w:b/>
        </w:rPr>
        <w:t>（二）</w:t>
      </w:r>
      <w:r>
        <w:rPr>
          <w:rFonts w:hint="eastAsia"/>
          <w:b/>
        </w:rPr>
        <w:t>县</w:t>
      </w:r>
      <w:r>
        <w:rPr>
          <w:b/>
        </w:rPr>
        <w:t>级重要水域</w:t>
      </w:r>
    </w:p>
    <w:p>
      <w:pPr>
        <w:ind w:firstLine="560"/>
      </w:pPr>
      <w:r>
        <w:rPr>
          <w:rFonts w:hint="eastAsia"/>
        </w:rPr>
        <w:t>本次文成县县级重要水域划定对象包括：饮用水水域保护区内重要水域、行洪排涝骨干河道、小型水库、县级直接管理的国家和省级风景名胜区核心景区及省级以上自然保护区内的水域。即上述（1）、（2）、（4）、（5）四类，无蓄滞洪区、湖泊、其他环境敏感区内水域。</w:t>
      </w:r>
    </w:p>
    <w:p>
      <w:pPr>
        <w:ind w:firstLine="562"/>
        <w:rPr>
          <w:rFonts w:hint="eastAsia"/>
          <w:b/>
        </w:rPr>
      </w:pPr>
      <w:r>
        <w:rPr>
          <w:b/>
        </w:rPr>
        <w:t>三、</w:t>
      </w:r>
      <w:r>
        <w:rPr>
          <w:rFonts w:hint="eastAsia"/>
          <w:b/>
        </w:rPr>
        <w:t>县</w:t>
      </w:r>
      <w:r>
        <w:rPr>
          <w:b/>
        </w:rPr>
        <w:t>级重要水域划定原则</w:t>
      </w:r>
    </w:p>
    <w:p>
      <w:pPr>
        <w:ind w:firstLine="562"/>
      </w:pPr>
      <w:r>
        <w:rPr>
          <w:rFonts w:hint="eastAsia"/>
          <w:b/>
          <w:bCs/>
        </w:rPr>
        <w:t>保护优先，严格管控。</w:t>
      </w:r>
      <w:r>
        <w:rPr>
          <w:rFonts w:hint="eastAsia"/>
        </w:rPr>
        <w:t>坚持保护优先，对于区域防洪排涝安全、水资源保障、生态保护等具有关键作用的水域应划入重要水域，实行特别保护，严格重要水域的空间及功能管控，非基础设施一律不得占用重要水域。</w:t>
      </w:r>
    </w:p>
    <w:p>
      <w:pPr>
        <w:ind w:firstLine="562"/>
      </w:pPr>
      <w:r>
        <w:rPr>
          <w:rFonts w:hint="eastAsia"/>
          <w:b/>
          <w:bCs/>
        </w:rPr>
        <w:t>依法依规，合理划定。</w:t>
      </w:r>
      <w:r>
        <w:rPr>
          <w:rFonts w:hint="eastAsia"/>
        </w:rPr>
        <w:t>依据水利、生态环境、自然资源等有关法律、法规和标准，统筹考虑生态保护红线、自然保护地、水功能区等生态空间管控要求，合理划定重要水域，明确其范围和相应信息。</w:t>
      </w:r>
    </w:p>
    <w:p>
      <w:pPr>
        <w:ind w:firstLine="562"/>
      </w:pPr>
      <w:r>
        <w:rPr>
          <w:rFonts w:hint="eastAsia"/>
          <w:b/>
          <w:bCs/>
        </w:rPr>
        <w:t>综合协调，统筹兼顾。</w:t>
      </w:r>
      <w:r>
        <w:rPr>
          <w:rFonts w:hint="eastAsia"/>
        </w:rPr>
        <w:t>综合协调水域资源保护与经济社会发展的关系，统筹兼顾地区间以及行业之间的保护与管理需求，切实可行的确定重要水域对象及范围。</w:t>
      </w:r>
    </w:p>
    <w:p>
      <w:pPr>
        <w:ind w:firstLine="562"/>
      </w:pPr>
      <w:r>
        <w:rPr>
          <w:rFonts w:hint="eastAsia"/>
          <w:b/>
          <w:bCs/>
        </w:rPr>
        <w:t>因地制宜，突出重点。</w:t>
      </w:r>
      <w:r>
        <w:rPr>
          <w:rFonts w:hint="eastAsia"/>
        </w:rPr>
        <w:t>坚持问题导向，注重实效和长效，因地制宜划定重要水域。</w:t>
      </w:r>
    </w:p>
    <w:p>
      <w:pPr>
        <w:ind w:firstLine="562"/>
        <w:rPr>
          <w:b/>
        </w:rPr>
      </w:pPr>
      <w:r>
        <w:rPr>
          <w:rFonts w:hint="eastAsia"/>
          <w:b/>
        </w:rPr>
        <w:t>四、县级重要水域划定成果总体情况</w:t>
      </w:r>
    </w:p>
    <w:p>
      <w:pPr>
        <w:ind w:firstLine="560"/>
        <w:rPr>
          <w:lang w:bidi="he-IL"/>
        </w:rPr>
      </w:pPr>
      <w:r>
        <w:rPr>
          <w:rFonts w:hint="eastAsia"/>
          <w:lang w:bidi="he-IL"/>
        </w:rPr>
        <w:t>文成县县级重要水域为河道</w:t>
      </w:r>
      <w:r>
        <w:rPr>
          <w:lang w:bidi="he-IL"/>
        </w:rPr>
        <w:t>93</w:t>
      </w:r>
      <w:r>
        <w:rPr>
          <w:rFonts w:hint="eastAsia"/>
          <w:lang w:bidi="he-IL"/>
        </w:rPr>
        <w:t>条，水库5</w:t>
      </w:r>
      <w:r>
        <w:rPr>
          <w:lang w:bidi="he-IL"/>
        </w:rPr>
        <w:t>0</w:t>
      </w:r>
      <w:r>
        <w:rPr>
          <w:rFonts w:hint="eastAsia"/>
          <w:lang w:bidi="he-IL"/>
        </w:rPr>
        <w:t>座，山塘4座，其他水域</w:t>
      </w:r>
      <w:r>
        <w:rPr>
          <w:lang w:bidi="he-IL"/>
        </w:rPr>
        <w:t>3</w:t>
      </w:r>
      <w:r>
        <w:rPr>
          <w:rFonts w:hint="eastAsia"/>
          <w:lang w:bidi="he-IL"/>
        </w:rPr>
        <w:t>处，总水域面积</w:t>
      </w:r>
      <w:r>
        <w:rPr>
          <w:lang w:bidi="he-IL"/>
        </w:rPr>
        <w:t>9.81</w:t>
      </w:r>
      <w:r>
        <w:rPr>
          <w:rFonts w:hint="eastAsia"/>
          <w:lang w:bidi="he-IL"/>
        </w:rPr>
        <w:t>km</w:t>
      </w:r>
      <w:r>
        <w:rPr>
          <w:vertAlign w:val="superscript"/>
          <w:lang w:bidi="he-IL"/>
        </w:rPr>
        <w:t>2</w:t>
      </w:r>
      <w:r>
        <w:rPr>
          <w:rFonts w:hint="eastAsia"/>
          <w:lang w:bidi="he-IL"/>
        </w:rPr>
        <w:t>，占全县水域面积约2</w:t>
      </w:r>
      <w:r>
        <w:rPr>
          <w:lang w:bidi="he-IL"/>
        </w:rPr>
        <w:t>1.04</w:t>
      </w:r>
      <w:r>
        <w:rPr>
          <w:rFonts w:hint="eastAsia"/>
          <w:lang w:bidi="he-IL"/>
        </w:rPr>
        <w:t>%。</w:t>
      </w:r>
    </w:p>
    <w:p>
      <w:pPr>
        <w:ind w:firstLine="560"/>
      </w:pPr>
    </w:p>
    <w:p>
      <w:pPr>
        <w:ind w:firstLine="0" w:firstLineChars="0"/>
        <w:jc w:val="center"/>
        <w:rPr>
          <w:rFonts w:hint="eastAsia"/>
          <w:b/>
        </w:rPr>
      </w:pPr>
      <w:r>
        <w:rPr>
          <w:rFonts w:hint="eastAsia"/>
          <w:b/>
          <w:lang w:bidi="he-IL"/>
        </w:rPr>
        <w:t>文成县县级重要水域统计表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2"/>
        <w:gridCol w:w="1610"/>
        <w:gridCol w:w="1417"/>
        <w:gridCol w:w="851"/>
        <w:gridCol w:w="708"/>
        <w:gridCol w:w="105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blHeader/>
        </w:trPr>
        <w:tc>
          <w:tcPr>
            <w:tcW w:w="512" w:type="dxa"/>
            <w:vMerge w:val="restart"/>
            <w:shd w:val="clear" w:color="auto" w:fill="auto"/>
            <w:noWrap/>
            <w:vAlign w:val="center"/>
          </w:tcPr>
          <w:p>
            <w:pPr>
              <w:pStyle w:val="4"/>
            </w:pPr>
            <w:r>
              <w:rPr>
                <w:rFonts w:hint="eastAsia"/>
              </w:rPr>
              <w:t>序号</w:t>
            </w:r>
          </w:p>
        </w:tc>
        <w:tc>
          <w:tcPr>
            <w:tcW w:w="1610" w:type="dxa"/>
            <w:vMerge w:val="restart"/>
            <w:shd w:val="clear" w:color="auto" w:fill="auto"/>
            <w:noWrap/>
            <w:vAlign w:val="center"/>
          </w:tcPr>
          <w:p>
            <w:pPr>
              <w:pStyle w:val="4"/>
            </w:pPr>
            <w:r>
              <w:rPr>
                <w:rFonts w:hint="eastAsia"/>
              </w:rPr>
              <w:t>重要水域</w:t>
            </w:r>
          </w:p>
          <w:p>
            <w:pPr>
              <w:pStyle w:val="4"/>
            </w:pPr>
            <w:r>
              <w:rPr>
                <w:rFonts w:hint="eastAsia"/>
              </w:rPr>
              <w:t>类型</w:t>
            </w:r>
          </w:p>
        </w:tc>
        <w:tc>
          <w:tcPr>
            <w:tcW w:w="1417" w:type="dxa"/>
            <w:vMerge w:val="restart"/>
            <w:shd w:val="clear" w:color="auto" w:fill="auto"/>
            <w:noWrap/>
            <w:vAlign w:val="center"/>
          </w:tcPr>
          <w:p>
            <w:pPr>
              <w:pStyle w:val="4"/>
            </w:pPr>
            <w:r>
              <w:rPr>
                <w:rFonts w:hint="eastAsia"/>
              </w:rPr>
              <w:t>级别</w:t>
            </w:r>
          </w:p>
        </w:tc>
        <w:tc>
          <w:tcPr>
            <w:tcW w:w="851" w:type="dxa"/>
            <w:vMerge w:val="restart"/>
            <w:shd w:val="clear" w:color="auto" w:fill="auto"/>
            <w:noWrap/>
            <w:vAlign w:val="center"/>
          </w:tcPr>
          <w:p>
            <w:pPr>
              <w:pStyle w:val="4"/>
            </w:pPr>
            <w:r>
              <w:rPr>
                <w:rFonts w:hint="eastAsia"/>
              </w:rPr>
              <w:t>水域</w:t>
            </w:r>
          </w:p>
          <w:p>
            <w:pPr>
              <w:pStyle w:val="4"/>
            </w:pPr>
            <w:r>
              <w:rPr>
                <w:rFonts w:hint="eastAsia"/>
              </w:rPr>
              <w:t>类型</w:t>
            </w:r>
          </w:p>
        </w:tc>
        <w:tc>
          <w:tcPr>
            <w:tcW w:w="1762" w:type="dxa"/>
            <w:gridSpan w:val="2"/>
            <w:shd w:val="clear" w:color="auto" w:fill="auto"/>
            <w:noWrap/>
            <w:vAlign w:val="center"/>
          </w:tcPr>
          <w:p>
            <w:pPr>
              <w:pStyle w:val="4"/>
            </w:pPr>
            <w:r>
              <w:rPr>
                <w:rFonts w:hint="eastAsia"/>
              </w:rPr>
              <w:t>县级重要水域</w:t>
            </w:r>
          </w:p>
        </w:tc>
        <w:tc>
          <w:tcPr>
            <w:tcW w:w="2144" w:type="dxa"/>
            <w:vMerge w:val="restart"/>
            <w:shd w:val="clear" w:color="auto" w:fill="auto"/>
            <w:noWrap/>
            <w:vAlign w:val="center"/>
          </w:tcPr>
          <w:p>
            <w:pPr>
              <w:pStyle w:val="4"/>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blHeader/>
        </w:trPr>
        <w:tc>
          <w:tcPr>
            <w:tcW w:w="512" w:type="dxa"/>
            <w:vMerge w:val="continue"/>
            <w:vAlign w:val="center"/>
          </w:tcPr>
          <w:p>
            <w:pPr>
              <w:pStyle w:val="4"/>
            </w:pPr>
          </w:p>
        </w:tc>
        <w:tc>
          <w:tcPr>
            <w:tcW w:w="1610" w:type="dxa"/>
            <w:vMerge w:val="continue"/>
            <w:shd w:val="clear" w:color="auto" w:fill="auto"/>
            <w:noWrap/>
            <w:vAlign w:val="center"/>
          </w:tcPr>
          <w:p>
            <w:pPr>
              <w:pStyle w:val="4"/>
            </w:pPr>
          </w:p>
        </w:tc>
        <w:tc>
          <w:tcPr>
            <w:tcW w:w="1417" w:type="dxa"/>
            <w:vMerge w:val="continue"/>
            <w:vAlign w:val="center"/>
          </w:tcPr>
          <w:p>
            <w:pPr>
              <w:pStyle w:val="4"/>
            </w:pPr>
          </w:p>
        </w:tc>
        <w:tc>
          <w:tcPr>
            <w:tcW w:w="851" w:type="dxa"/>
            <w:vMerge w:val="continue"/>
            <w:vAlign w:val="center"/>
          </w:tcPr>
          <w:p>
            <w:pPr>
              <w:pStyle w:val="4"/>
            </w:pPr>
          </w:p>
        </w:tc>
        <w:tc>
          <w:tcPr>
            <w:tcW w:w="708" w:type="dxa"/>
            <w:shd w:val="clear" w:color="auto" w:fill="auto"/>
            <w:noWrap/>
            <w:vAlign w:val="center"/>
          </w:tcPr>
          <w:p>
            <w:pPr>
              <w:pStyle w:val="4"/>
            </w:pPr>
            <w:r>
              <w:rPr>
                <w:rFonts w:hint="eastAsia"/>
              </w:rPr>
              <w:t>数量</w:t>
            </w:r>
          </w:p>
        </w:tc>
        <w:tc>
          <w:tcPr>
            <w:tcW w:w="1054" w:type="dxa"/>
            <w:shd w:val="clear" w:color="auto" w:fill="auto"/>
            <w:noWrap/>
            <w:vAlign w:val="center"/>
          </w:tcPr>
          <w:p>
            <w:pPr>
              <w:pStyle w:val="4"/>
            </w:pPr>
            <w:r>
              <w:rPr>
                <w:rFonts w:hint="eastAsia"/>
              </w:rPr>
              <w:t>水域</w:t>
            </w:r>
          </w:p>
          <w:p>
            <w:pPr>
              <w:pStyle w:val="4"/>
            </w:pPr>
            <w:r>
              <w:rPr>
                <w:rFonts w:hint="eastAsia"/>
              </w:rPr>
              <w:t>面积</w:t>
            </w:r>
          </w:p>
          <w:p>
            <w:pPr>
              <w:pStyle w:val="4"/>
            </w:pPr>
            <w:r>
              <w:rPr>
                <w:rFonts w:hint="eastAsia"/>
              </w:rPr>
              <w:t>（km</w:t>
            </w:r>
            <w:r>
              <w:rPr>
                <w:vertAlign w:val="superscript"/>
              </w:rPr>
              <w:t>2</w:t>
            </w:r>
            <w:r>
              <w:rPr>
                <w:rFonts w:hint="eastAsia"/>
              </w:rPr>
              <w:t>）</w:t>
            </w:r>
          </w:p>
        </w:tc>
        <w:tc>
          <w:tcPr>
            <w:tcW w:w="2144" w:type="dxa"/>
            <w:vMerge w:val="continue"/>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restart"/>
            <w:shd w:val="clear" w:color="auto" w:fill="auto"/>
            <w:noWrap/>
            <w:vAlign w:val="center"/>
          </w:tcPr>
          <w:p>
            <w:pPr>
              <w:pStyle w:val="4"/>
            </w:pPr>
            <w:r>
              <w:t>1</w:t>
            </w:r>
          </w:p>
        </w:tc>
        <w:tc>
          <w:tcPr>
            <w:tcW w:w="1610" w:type="dxa"/>
            <w:vMerge w:val="restart"/>
            <w:shd w:val="clear" w:color="auto" w:fill="auto"/>
            <w:noWrap/>
            <w:vAlign w:val="center"/>
          </w:tcPr>
          <w:p>
            <w:pPr>
              <w:pStyle w:val="4"/>
            </w:pPr>
            <w:r>
              <w:rPr>
                <w:rFonts w:hint="eastAsia"/>
              </w:rPr>
              <w:t>饮用水水源保护区</w:t>
            </w:r>
          </w:p>
        </w:tc>
        <w:tc>
          <w:tcPr>
            <w:tcW w:w="1417" w:type="dxa"/>
            <w:vMerge w:val="restart"/>
            <w:shd w:val="clear" w:color="auto" w:fill="auto"/>
            <w:noWrap/>
            <w:vAlign w:val="center"/>
          </w:tcPr>
          <w:p>
            <w:pPr>
              <w:pStyle w:val="4"/>
            </w:pPr>
            <w:r>
              <w:rPr>
                <w:rFonts w:hint="eastAsia"/>
              </w:rPr>
              <w:t>农村</w:t>
            </w:r>
          </w:p>
        </w:tc>
        <w:tc>
          <w:tcPr>
            <w:tcW w:w="851" w:type="dxa"/>
            <w:shd w:val="clear" w:color="auto" w:fill="auto"/>
            <w:noWrap/>
            <w:vAlign w:val="center"/>
          </w:tcPr>
          <w:p>
            <w:pPr>
              <w:pStyle w:val="4"/>
            </w:pPr>
            <w:r>
              <w:rPr>
                <w:rFonts w:hint="eastAsia"/>
              </w:rPr>
              <w:t>河道</w:t>
            </w:r>
          </w:p>
        </w:tc>
        <w:tc>
          <w:tcPr>
            <w:tcW w:w="708" w:type="dxa"/>
            <w:shd w:val="clear" w:color="auto" w:fill="auto"/>
            <w:noWrap/>
            <w:vAlign w:val="center"/>
          </w:tcPr>
          <w:p>
            <w:pPr>
              <w:pStyle w:val="4"/>
            </w:pPr>
            <w:r>
              <w:t>31</w:t>
            </w:r>
          </w:p>
        </w:tc>
        <w:tc>
          <w:tcPr>
            <w:tcW w:w="1054" w:type="dxa"/>
            <w:shd w:val="clear" w:color="auto" w:fill="auto"/>
            <w:noWrap/>
            <w:vAlign w:val="center"/>
          </w:tcPr>
          <w:p>
            <w:pPr>
              <w:pStyle w:val="4"/>
            </w:pPr>
            <w:r>
              <w:t>2.12</w:t>
            </w:r>
          </w:p>
        </w:tc>
        <w:tc>
          <w:tcPr>
            <w:tcW w:w="2144" w:type="dxa"/>
            <w:shd w:val="clear" w:color="auto" w:fill="auto"/>
            <w:noWrap/>
            <w:vAlign w:val="center"/>
          </w:tcPr>
          <w:p>
            <w:pPr>
              <w:pStyle w:val="4"/>
            </w:pPr>
            <w:r>
              <w:rPr>
                <w:rFonts w:hint="eastAsia"/>
              </w:rPr>
              <w:t>其中李井坑，为骨干河道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continue"/>
            <w:vAlign w:val="center"/>
          </w:tcPr>
          <w:p>
            <w:pPr>
              <w:pStyle w:val="4"/>
            </w:pPr>
          </w:p>
        </w:tc>
        <w:tc>
          <w:tcPr>
            <w:tcW w:w="1610" w:type="dxa"/>
            <w:vMerge w:val="continue"/>
            <w:vAlign w:val="center"/>
          </w:tcPr>
          <w:p>
            <w:pPr>
              <w:pStyle w:val="4"/>
            </w:pPr>
          </w:p>
        </w:tc>
        <w:tc>
          <w:tcPr>
            <w:tcW w:w="1417" w:type="dxa"/>
            <w:vMerge w:val="continue"/>
            <w:shd w:val="clear" w:color="auto" w:fill="auto"/>
            <w:noWrap/>
            <w:vAlign w:val="center"/>
          </w:tcPr>
          <w:p>
            <w:pPr>
              <w:pStyle w:val="4"/>
            </w:pPr>
          </w:p>
        </w:tc>
        <w:tc>
          <w:tcPr>
            <w:tcW w:w="851" w:type="dxa"/>
            <w:shd w:val="clear" w:color="auto" w:fill="auto"/>
            <w:noWrap/>
            <w:vAlign w:val="center"/>
          </w:tcPr>
          <w:p>
            <w:pPr>
              <w:pStyle w:val="4"/>
            </w:pPr>
            <w:r>
              <w:rPr>
                <w:rFonts w:hint="eastAsia"/>
              </w:rPr>
              <w:t>水库</w:t>
            </w:r>
          </w:p>
        </w:tc>
        <w:tc>
          <w:tcPr>
            <w:tcW w:w="708" w:type="dxa"/>
            <w:shd w:val="clear" w:color="auto" w:fill="auto"/>
            <w:noWrap/>
            <w:vAlign w:val="center"/>
          </w:tcPr>
          <w:p>
            <w:pPr>
              <w:pStyle w:val="4"/>
            </w:pPr>
            <w:r>
              <w:t>5</w:t>
            </w:r>
          </w:p>
        </w:tc>
        <w:tc>
          <w:tcPr>
            <w:tcW w:w="1054" w:type="dxa"/>
            <w:shd w:val="clear" w:color="auto" w:fill="auto"/>
            <w:noWrap/>
            <w:vAlign w:val="center"/>
          </w:tcPr>
          <w:p>
            <w:pPr>
              <w:pStyle w:val="4"/>
            </w:pPr>
            <w:r>
              <w:t>0.18</w:t>
            </w:r>
          </w:p>
        </w:tc>
        <w:tc>
          <w:tcPr>
            <w:tcW w:w="2144" w:type="dxa"/>
            <w:shd w:val="clear" w:color="auto" w:fill="auto"/>
            <w:noWrap/>
            <w:vAlign w:val="center"/>
          </w:tcPr>
          <w:p>
            <w:pPr>
              <w:pStyle w:val="4"/>
            </w:pPr>
            <w:r>
              <w:rPr>
                <w:rFonts w:hint="eastAsia"/>
              </w:rPr>
              <w:t>作为水库类重要水域统计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continue"/>
            <w:vAlign w:val="center"/>
          </w:tcPr>
          <w:p>
            <w:pPr>
              <w:pStyle w:val="4"/>
            </w:pPr>
          </w:p>
        </w:tc>
        <w:tc>
          <w:tcPr>
            <w:tcW w:w="1610" w:type="dxa"/>
            <w:vMerge w:val="continue"/>
            <w:vAlign w:val="center"/>
          </w:tcPr>
          <w:p>
            <w:pPr>
              <w:pStyle w:val="4"/>
            </w:pPr>
          </w:p>
        </w:tc>
        <w:tc>
          <w:tcPr>
            <w:tcW w:w="1417" w:type="dxa"/>
            <w:vMerge w:val="continue"/>
            <w:vAlign w:val="center"/>
          </w:tcPr>
          <w:p>
            <w:pPr>
              <w:pStyle w:val="4"/>
            </w:pPr>
          </w:p>
        </w:tc>
        <w:tc>
          <w:tcPr>
            <w:tcW w:w="851" w:type="dxa"/>
            <w:shd w:val="clear" w:color="auto" w:fill="auto"/>
            <w:noWrap/>
            <w:vAlign w:val="center"/>
          </w:tcPr>
          <w:p>
            <w:pPr>
              <w:pStyle w:val="4"/>
            </w:pPr>
            <w:r>
              <w:rPr>
                <w:rFonts w:hint="eastAsia"/>
              </w:rPr>
              <w:t>山塘</w:t>
            </w:r>
          </w:p>
        </w:tc>
        <w:tc>
          <w:tcPr>
            <w:tcW w:w="708" w:type="dxa"/>
            <w:shd w:val="clear" w:color="auto" w:fill="auto"/>
            <w:noWrap/>
            <w:vAlign w:val="center"/>
          </w:tcPr>
          <w:p>
            <w:pPr>
              <w:pStyle w:val="4"/>
            </w:pPr>
            <w:r>
              <w:t>4</w:t>
            </w:r>
          </w:p>
        </w:tc>
        <w:tc>
          <w:tcPr>
            <w:tcW w:w="1054" w:type="dxa"/>
            <w:shd w:val="clear" w:color="auto" w:fill="auto"/>
            <w:noWrap/>
            <w:vAlign w:val="center"/>
          </w:tcPr>
          <w:p>
            <w:pPr>
              <w:pStyle w:val="4"/>
            </w:pPr>
            <w:r>
              <w:t>0.0074</w:t>
            </w:r>
          </w:p>
        </w:tc>
        <w:tc>
          <w:tcPr>
            <w:tcW w:w="2144" w:type="dxa"/>
            <w:shd w:val="clear" w:color="auto" w:fill="auto"/>
            <w:noWrap/>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continue"/>
            <w:vAlign w:val="center"/>
          </w:tcPr>
          <w:p>
            <w:pPr>
              <w:pStyle w:val="4"/>
            </w:pPr>
          </w:p>
        </w:tc>
        <w:tc>
          <w:tcPr>
            <w:tcW w:w="1610" w:type="dxa"/>
            <w:vMerge w:val="continue"/>
            <w:vAlign w:val="center"/>
          </w:tcPr>
          <w:p>
            <w:pPr>
              <w:pStyle w:val="4"/>
            </w:pPr>
          </w:p>
        </w:tc>
        <w:tc>
          <w:tcPr>
            <w:tcW w:w="1417" w:type="dxa"/>
            <w:vMerge w:val="continue"/>
            <w:vAlign w:val="center"/>
          </w:tcPr>
          <w:p>
            <w:pPr>
              <w:pStyle w:val="4"/>
            </w:pPr>
          </w:p>
        </w:tc>
        <w:tc>
          <w:tcPr>
            <w:tcW w:w="851" w:type="dxa"/>
            <w:shd w:val="clear" w:color="auto" w:fill="auto"/>
            <w:noWrap/>
            <w:vAlign w:val="center"/>
          </w:tcPr>
          <w:p>
            <w:pPr>
              <w:pStyle w:val="4"/>
            </w:pPr>
            <w:r>
              <w:rPr>
                <w:rFonts w:hint="eastAsia"/>
              </w:rPr>
              <w:t>其他水域</w:t>
            </w:r>
          </w:p>
        </w:tc>
        <w:tc>
          <w:tcPr>
            <w:tcW w:w="708" w:type="dxa"/>
            <w:shd w:val="clear" w:color="auto" w:fill="auto"/>
            <w:noWrap/>
            <w:vAlign w:val="center"/>
          </w:tcPr>
          <w:p>
            <w:pPr>
              <w:pStyle w:val="4"/>
            </w:pPr>
            <w:r>
              <w:t>3</w:t>
            </w:r>
          </w:p>
        </w:tc>
        <w:tc>
          <w:tcPr>
            <w:tcW w:w="1054" w:type="dxa"/>
            <w:shd w:val="clear" w:color="auto" w:fill="auto"/>
            <w:noWrap/>
            <w:vAlign w:val="center"/>
          </w:tcPr>
          <w:p>
            <w:pPr>
              <w:pStyle w:val="4"/>
            </w:pPr>
            <w:r>
              <w:t>0.015</w:t>
            </w:r>
          </w:p>
        </w:tc>
        <w:tc>
          <w:tcPr>
            <w:tcW w:w="2144" w:type="dxa"/>
            <w:shd w:val="clear" w:color="auto" w:fill="auto"/>
            <w:noWrap/>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restart"/>
            <w:shd w:val="clear" w:color="auto" w:fill="auto"/>
            <w:noWrap/>
            <w:vAlign w:val="center"/>
          </w:tcPr>
          <w:p>
            <w:pPr>
              <w:pStyle w:val="4"/>
            </w:pPr>
            <w:r>
              <w:t>2</w:t>
            </w:r>
          </w:p>
        </w:tc>
        <w:tc>
          <w:tcPr>
            <w:tcW w:w="1610" w:type="dxa"/>
            <w:vMerge w:val="restart"/>
            <w:shd w:val="clear" w:color="auto" w:fill="auto"/>
            <w:noWrap/>
            <w:vAlign w:val="center"/>
          </w:tcPr>
          <w:p>
            <w:pPr>
              <w:pStyle w:val="4"/>
            </w:pPr>
            <w:r>
              <w:rPr>
                <w:rFonts w:hint="eastAsia"/>
              </w:rPr>
              <w:t>风景名胜区</w:t>
            </w:r>
          </w:p>
        </w:tc>
        <w:tc>
          <w:tcPr>
            <w:tcW w:w="1417" w:type="dxa"/>
            <w:vMerge w:val="restart"/>
            <w:shd w:val="clear" w:color="auto" w:fill="auto"/>
            <w:noWrap/>
            <w:vAlign w:val="center"/>
          </w:tcPr>
          <w:p>
            <w:pPr>
              <w:pStyle w:val="4"/>
            </w:pPr>
            <w:r>
              <w:rPr>
                <w:rFonts w:hint="eastAsia"/>
              </w:rPr>
              <w:t>国家级</w:t>
            </w:r>
          </w:p>
        </w:tc>
        <w:tc>
          <w:tcPr>
            <w:tcW w:w="851" w:type="dxa"/>
            <w:shd w:val="clear" w:color="auto" w:fill="auto"/>
            <w:noWrap/>
            <w:vAlign w:val="center"/>
          </w:tcPr>
          <w:p>
            <w:pPr>
              <w:pStyle w:val="4"/>
            </w:pPr>
            <w:r>
              <w:rPr>
                <w:rFonts w:hint="eastAsia"/>
              </w:rPr>
              <w:t>河道</w:t>
            </w:r>
          </w:p>
        </w:tc>
        <w:tc>
          <w:tcPr>
            <w:tcW w:w="708" w:type="dxa"/>
            <w:shd w:val="clear" w:color="auto" w:fill="auto"/>
            <w:noWrap/>
            <w:vAlign w:val="center"/>
          </w:tcPr>
          <w:p>
            <w:pPr>
              <w:pStyle w:val="4"/>
            </w:pPr>
            <w:r>
              <w:t>51</w:t>
            </w:r>
          </w:p>
        </w:tc>
        <w:tc>
          <w:tcPr>
            <w:tcW w:w="1054" w:type="dxa"/>
            <w:shd w:val="clear" w:color="auto" w:fill="auto"/>
            <w:noWrap/>
            <w:vAlign w:val="center"/>
          </w:tcPr>
          <w:p>
            <w:pPr>
              <w:pStyle w:val="4"/>
            </w:pPr>
            <w:r>
              <w:t>2.77</w:t>
            </w:r>
          </w:p>
        </w:tc>
        <w:tc>
          <w:tcPr>
            <w:tcW w:w="2144" w:type="dxa"/>
            <w:shd w:val="clear" w:color="auto" w:fill="auto"/>
            <w:noWrap/>
            <w:vAlign w:val="center"/>
          </w:tcPr>
          <w:p>
            <w:pPr>
              <w:pStyle w:val="4"/>
            </w:pPr>
            <w:r>
              <w:rPr>
                <w:rFonts w:hint="eastAsia"/>
              </w:rPr>
              <w:t>其中梧溪、洙溪，为骨干河道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continue"/>
            <w:vAlign w:val="center"/>
          </w:tcPr>
          <w:p>
            <w:pPr>
              <w:pStyle w:val="4"/>
            </w:pPr>
          </w:p>
        </w:tc>
        <w:tc>
          <w:tcPr>
            <w:tcW w:w="1610" w:type="dxa"/>
            <w:vMerge w:val="continue"/>
            <w:vAlign w:val="center"/>
          </w:tcPr>
          <w:p>
            <w:pPr>
              <w:pStyle w:val="4"/>
            </w:pPr>
          </w:p>
        </w:tc>
        <w:tc>
          <w:tcPr>
            <w:tcW w:w="1417" w:type="dxa"/>
            <w:vMerge w:val="continue"/>
            <w:vAlign w:val="center"/>
          </w:tcPr>
          <w:p>
            <w:pPr>
              <w:pStyle w:val="4"/>
            </w:pPr>
          </w:p>
        </w:tc>
        <w:tc>
          <w:tcPr>
            <w:tcW w:w="851" w:type="dxa"/>
            <w:shd w:val="clear" w:color="auto" w:fill="auto"/>
            <w:noWrap/>
            <w:vAlign w:val="center"/>
          </w:tcPr>
          <w:p>
            <w:pPr>
              <w:pStyle w:val="4"/>
            </w:pPr>
            <w:r>
              <w:rPr>
                <w:rFonts w:hint="eastAsia"/>
              </w:rPr>
              <w:t>水库</w:t>
            </w:r>
          </w:p>
        </w:tc>
        <w:tc>
          <w:tcPr>
            <w:tcW w:w="708" w:type="dxa"/>
            <w:shd w:val="clear" w:color="auto" w:fill="auto"/>
            <w:noWrap/>
            <w:vAlign w:val="center"/>
          </w:tcPr>
          <w:p>
            <w:pPr>
              <w:pStyle w:val="4"/>
            </w:pPr>
            <w:r>
              <w:t>4</w:t>
            </w:r>
          </w:p>
        </w:tc>
        <w:tc>
          <w:tcPr>
            <w:tcW w:w="1054" w:type="dxa"/>
            <w:shd w:val="clear" w:color="auto" w:fill="auto"/>
            <w:noWrap/>
            <w:vAlign w:val="center"/>
          </w:tcPr>
          <w:p>
            <w:pPr>
              <w:pStyle w:val="4"/>
            </w:pPr>
            <w:r>
              <w:t>0.14</w:t>
            </w:r>
          </w:p>
        </w:tc>
        <w:tc>
          <w:tcPr>
            <w:tcW w:w="2144" w:type="dxa"/>
            <w:shd w:val="clear" w:color="auto" w:fill="auto"/>
            <w:noWrap/>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shd w:val="clear" w:color="auto" w:fill="auto"/>
            <w:noWrap/>
            <w:vAlign w:val="center"/>
          </w:tcPr>
          <w:p>
            <w:pPr>
              <w:pStyle w:val="4"/>
            </w:pPr>
            <w:r>
              <w:t>3</w:t>
            </w:r>
          </w:p>
        </w:tc>
        <w:tc>
          <w:tcPr>
            <w:tcW w:w="1610" w:type="dxa"/>
            <w:shd w:val="clear" w:color="auto" w:fill="auto"/>
            <w:noWrap/>
            <w:vAlign w:val="center"/>
          </w:tcPr>
          <w:p>
            <w:pPr>
              <w:pStyle w:val="4"/>
            </w:pPr>
            <w:r>
              <w:rPr>
                <w:rFonts w:hint="eastAsia"/>
              </w:rPr>
              <w:t>省、市级河道以及行洪排涝骨干河道</w:t>
            </w:r>
          </w:p>
        </w:tc>
        <w:tc>
          <w:tcPr>
            <w:tcW w:w="1417" w:type="dxa"/>
            <w:shd w:val="clear" w:color="auto" w:fill="auto"/>
            <w:noWrap/>
            <w:vAlign w:val="center"/>
          </w:tcPr>
          <w:p>
            <w:pPr>
              <w:pStyle w:val="4"/>
            </w:pPr>
            <w:r>
              <w:rPr>
                <w:rFonts w:hint="eastAsia"/>
              </w:rPr>
              <w:t>县级</w:t>
            </w:r>
          </w:p>
        </w:tc>
        <w:tc>
          <w:tcPr>
            <w:tcW w:w="851" w:type="dxa"/>
            <w:shd w:val="clear" w:color="auto" w:fill="auto"/>
            <w:noWrap/>
            <w:vAlign w:val="center"/>
          </w:tcPr>
          <w:p>
            <w:pPr>
              <w:pStyle w:val="4"/>
            </w:pPr>
            <w:r>
              <w:rPr>
                <w:rFonts w:hint="eastAsia"/>
              </w:rPr>
              <w:t>河道</w:t>
            </w:r>
          </w:p>
        </w:tc>
        <w:tc>
          <w:tcPr>
            <w:tcW w:w="708" w:type="dxa"/>
            <w:shd w:val="clear" w:color="auto" w:fill="auto"/>
            <w:noWrap/>
            <w:vAlign w:val="center"/>
          </w:tcPr>
          <w:p>
            <w:pPr>
              <w:pStyle w:val="4"/>
            </w:pPr>
            <w:r>
              <w:t>14</w:t>
            </w:r>
          </w:p>
        </w:tc>
        <w:tc>
          <w:tcPr>
            <w:tcW w:w="1054" w:type="dxa"/>
            <w:shd w:val="clear" w:color="auto" w:fill="auto"/>
            <w:noWrap/>
            <w:vAlign w:val="center"/>
          </w:tcPr>
          <w:p>
            <w:pPr>
              <w:pStyle w:val="4"/>
            </w:pPr>
            <w:r>
              <w:t>4.52</w:t>
            </w:r>
          </w:p>
        </w:tc>
        <w:tc>
          <w:tcPr>
            <w:tcW w:w="2144" w:type="dxa"/>
            <w:shd w:val="clear" w:color="auto" w:fill="auto"/>
            <w:noWrap/>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restart"/>
            <w:shd w:val="clear" w:color="auto" w:fill="auto"/>
            <w:noWrap/>
            <w:vAlign w:val="center"/>
          </w:tcPr>
          <w:p>
            <w:pPr>
              <w:pStyle w:val="4"/>
            </w:pPr>
            <w:r>
              <w:t>4</w:t>
            </w:r>
          </w:p>
        </w:tc>
        <w:tc>
          <w:tcPr>
            <w:tcW w:w="1610" w:type="dxa"/>
            <w:vMerge w:val="restart"/>
            <w:shd w:val="clear" w:color="auto" w:fill="auto"/>
            <w:noWrap/>
            <w:vAlign w:val="center"/>
          </w:tcPr>
          <w:p>
            <w:pPr>
              <w:pStyle w:val="4"/>
            </w:pPr>
            <w:r>
              <w:rPr>
                <w:rFonts w:hint="eastAsia"/>
              </w:rPr>
              <w:t>水库</w:t>
            </w:r>
          </w:p>
        </w:tc>
        <w:tc>
          <w:tcPr>
            <w:tcW w:w="1417" w:type="dxa"/>
            <w:shd w:val="clear" w:color="auto" w:fill="auto"/>
            <w:noWrap/>
            <w:vAlign w:val="center"/>
          </w:tcPr>
          <w:p>
            <w:pPr>
              <w:pStyle w:val="4"/>
            </w:pPr>
            <w:r>
              <w:rPr>
                <w:rFonts w:hint="eastAsia"/>
              </w:rPr>
              <w:t>小（一）型</w:t>
            </w:r>
          </w:p>
        </w:tc>
        <w:tc>
          <w:tcPr>
            <w:tcW w:w="851" w:type="dxa"/>
            <w:shd w:val="clear" w:color="auto" w:fill="auto"/>
            <w:noWrap/>
            <w:vAlign w:val="center"/>
          </w:tcPr>
          <w:p>
            <w:pPr>
              <w:pStyle w:val="4"/>
            </w:pPr>
            <w:r>
              <w:rPr>
                <w:rFonts w:hint="eastAsia"/>
              </w:rPr>
              <w:t>水库</w:t>
            </w:r>
          </w:p>
        </w:tc>
        <w:tc>
          <w:tcPr>
            <w:tcW w:w="708" w:type="dxa"/>
            <w:shd w:val="clear" w:color="auto" w:fill="auto"/>
            <w:vAlign w:val="center"/>
          </w:tcPr>
          <w:p>
            <w:pPr>
              <w:pStyle w:val="4"/>
            </w:pPr>
            <w:r>
              <w:t>8</w:t>
            </w:r>
          </w:p>
        </w:tc>
        <w:tc>
          <w:tcPr>
            <w:tcW w:w="1054" w:type="dxa"/>
            <w:shd w:val="clear" w:color="auto" w:fill="auto"/>
            <w:vAlign w:val="center"/>
          </w:tcPr>
          <w:p>
            <w:pPr>
              <w:pStyle w:val="4"/>
            </w:pPr>
            <w:r>
              <w:t>0.67</w:t>
            </w:r>
          </w:p>
        </w:tc>
        <w:tc>
          <w:tcPr>
            <w:tcW w:w="2144" w:type="dxa"/>
            <w:shd w:val="clear" w:color="auto" w:fill="auto"/>
            <w:noWrap/>
            <w:vAlign w:val="center"/>
          </w:tcPr>
          <w:p>
            <w:pPr>
              <w:pStyle w:val="4"/>
            </w:pPr>
            <w:r>
              <w:rPr>
                <w:rFonts w:hint="eastAsia"/>
              </w:rPr>
              <w:t>百万山、九龙湖水库为市级重要水域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12" w:type="dxa"/>
            <w:vMerge w:val="continue"/>
            <w:vAlign w:val="center"/>
          </w:tcPr>
          <w:p>
            <w:pPr>
              <w:pStyle w:val="4"/>
            </w:pPr>
          </w:p>
        </w:tc>
        <w:tc>
          <w:tcPr>
            <w:tcW w:w="1610" w:type="dxa"/>
            <w:vMerge w:val="continue"/>
            <w:vAlign w:val="center"/>
          </w:tcPr>
          <w:p>
            <w:pPr>
              <w:pStyle w:val="4"/>
            </w:pPr>
          </w:p>
        </w:tc>
        <w:tc>
          <w:tcPr>
            <w:tcW w:w="1417" w:type="dxa"/>
            <w:shd w:val="clear" w:color="auto" w:fill="auto"/>
            <w:noWrap/>
            <w:vAlign w:val="center"/>
          </w:tcPr>
          <w:p>
            <w:pPr>
              <w:pStyle w:val="4"/>
            </w:pPr>
            <w:r>
              <w:rPr>
                <w:rFonts w:hint="eastAsia"/>
              </w:rPr>
              <w:t>小（二）型</w:t>
            </w:r>
          </w:p>
        </w:tc>
        <w:tc>
          <w:tcPr>
            <w:tcW w:w="851" w:type="dxa"/>
            <w:shd w:val="clear" w:color="auto" w:fill="auto"/>
            <w:noWrap/>
            <w:vAlign w:val="center"/>
          </w:tcPr>
          <w:p>
            <w:pPr>
              <w:pStyle w:val="4"/>
            </w:pPr>
            <w:r>
              <w:rPr>
                <w:rFonts w:hint="eastAsia"/>
              </w:rPr>
              <w:t>水库</w:t>
            </w:r>
          </w:p>
        </w:tc>
        <w:tc>
          <w:tcPr>
            <w:tcW w:w="708" w:type="dxa"/>
            <w:shd w:val="clear" w:color="auto" w:fill="auto"/>
            <w:vAlign w:val="center"/>
          </w:tcPr>
          <w:p>
            <w:pPr>
              <w:pStyle w:val="4"/>
            </w:pPr>
            <w:r>
              <w:t>42</w:t>
            </w:r>
          </w:p>
        </w:tc>
        <w:tc>
          <w:tcPr>
            <w:tcW w:w="1054" w:type="dxa"/>
            <w:shd w:val="clear" w:color="auto" w:fill="auto"/>
            <w:vAlign w:val="center"/>
          </w:tcPr>
          <w:p>
            <w:pPr>
              <w:pStyle w:val="4"/>
            </w:pPr>
            <w:r>
              <w:t>1.4</w:t>
            </w:r>
          </w:p>
        </w:tc>
        <w:tc>
          <w:tcPr>
            <w:tcW w:w="2144" w:type="dxa"/>
            <w:shd w:val="clear" w:color="auto" w:fill="auto"/>
            <w:noWrap/>
            <w:vAlign w:val="center"/>
          </w:tcPr>
          <w:p>
            <w:pPr>
              <w:pStyle w:val="4"/>
            </w:pPr>
          </w:p>
        </w:tc>
      </w:tr>
    </w:tbl>
    <w:p>
      <w:pPr>
        <w:ind w:firstLine="560"/>
        <w:rPr>
          <w:rFonts w:hint="eastAsia"/>
        </w:rPr>
      </w:pPr>
    </w:p>
    <w:p>
      <w:pPr>
        <w:ind w:firstLine="562"/>
        <w:rPr>
          <w:b/>
        </w:rPr>
      </w:pPr>
      <w:r>
        <w:rPr>
          <w:b/>
        </w:rPr>
        <w:t>五、公布与调整的工作程序</w:t>
      </w:r>
    </w:p>
    <w:p>
      <w:pPr>
        <w:ind w:firstLine="560"/>
      </w:pPr>
      <w:r>
        <w:rPr>
          <w:rFonts w:hint="eastAsia"/>
        </w:rPr>
        <w:t>（</w:t>
      </w:r>
      <w:r>
        <w:t>1</w:t>
      </w:r>
      <w:r>
        <w:rPr>
          <w:rFonts w:hint="eastAsia"/>
        </w:rPr>
        <w:t>）公布组织和程序</w:t>
      </w:r>
    </w:p>
    <w:p>
      <w:pPr>
        <w:ind w:firstLine="560"/>
      </w:pPr>
      <w:r>
        <w:rPr>
          <w:rFonts w:hint="eastAsia"/>
        </w:rPr>
        <w:t>按照经省政府同意印发《浙江省水利厅印发关于进一步明确浙江省有关水域管理职责的通知》（浙水河湖〔2</w:t>
      </w:r>
      <w:r>
        <w:t>020</w:t>
      </w:r>
      <w:r>
        <w:rPr>
          <w:rFonts w:hint="eastAsia"/>
        </w:rPr>
        <w:t>〕6号）执行。即重要水域由县级以上人民政府水行政主管部门会同生态环境等有关部门按照管理权限划定，并报本级人民政府批准公布。</w:t>
      </w:r>
    </w:p>
    <w:p>
      <w:pPr>
        <w:ind w:firstLine="560"/>
      </w:pPr>
      <w:r>
        <w:rPr>
          <w:rFonts w:hint="eastAsia"/>
        </w:rPr>
        <w:t>①省级河道、大型水库、跨设区市的重要中型水库、面积</w:t>
      </w:r>
      <w:r>
        <w:t>1</w:t>
      </w:r>
      <w:r>
        <w:rPr>
          <w:rFonts w:hint="eastAsia"/>
        </w:rPr>
        <w:t>平方公里（含）以上的湖泊，由省水行政主管部门确定，报省人民政府公布；②市直管河道、市级河道、中型水库、跨县（市、区）的小（一）型小型水库、面积</w:t>
      </w:r>
      <w:r>
        <w:t>0.5</w:t>
      </w:r>
      <w:r>
        <w:rPr>
          <w:rFonts w:hint="eastAsia"/>
        </w:rPr>
        <w:t>（含）</w:t>
      </w:r>
      <w:r>
        <w:t>~1</w:t>
      </w:r>
      <w:r>
        <w:rPr>
          <w:rFonts w:hint="eastAsia"/>
        </w:rPr>
        <w:t>平方公里的湖泊、由市级直接管理的国家和省级风景名胜区核心景区及省级以上自然保护区内的水域，由市级水行政主管部会同有关部门确定，报市级人民政府公布；③其它重要水域名录由县级水行政主管部门会同生态环境等有关部门确定并报本级人民政府公布。</w:t>
      </w:r>
    </w:p>
    <w:p>
      <w:pPr>
        <w:ind w:firstLine="560"/>
      </w:pPr>
      <w:r>
        <w:rPr>
          <w:rFonts w:hint="eastAsia"/>
        </w:rPr>
        <w:t>（2）公布的形式及内容</w:t>
      </w:r>
    </w:p>
    <w:p>
      <w:pPr>
        <w:ind w:firstLine="560"/>
      </w:pPr>
      <w:r>
        <w:rPr>
          <w:rFonts w:hint="eastAsia"/>
        </w:rPr>
        <w:t>重要水域名录及其主要划定内容应在当地政府网站予以公布。公布内容应包括：文件通知及附件。附件包括：综合说明、基础信息表和位置示意图（JPG格式）。</w:t>
      </w:r>
    </w:p>
    <w:p>
      <w:pPr>
        <w:ind w:firstLine="560"/>
        <w:rPr>
          <w:rFonts w:hint="eastAsia"/>
        </w:rPr>
      </w:pPr>
      <w:r>
        <w:rPr>
          <w:rFonts w:hint="eastAsia"/>
        </w:rPr>
        <w:t>（3）重要水域名录的调整</w:t>
      </w:r>
    </w:p>
    <w:p>
      <w:pPr>
        <w:ind w:firstLine="560"/>
        <w:rPr>
          <w:rFonts w:hint="eastAsia"/>
        </w:rPr>
      </w:pPr>
      <w:r>
        <w:rPr>
          <w:rFonts w:hint="eastAsia"/>
        </w:rPr>
        <w:t>重要水域名录确需调整的，应按原审核公布程序进行，并报原批准的人民政府同意后公布。因饮用水源保护区、国家公园、自然保护区、风景名胜区范围调整或山塘水库降等报废等情形，需要调整重要水域名录的，应报本级人民政府备案并公布。重要水域调整应明确调整的原因、调整范围，并将调整的结果及时纳入水域信息管理系统或水管理平台。</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51"/>
    <w:rsid w:val="00005CFA"/>
    <w:rsid w:val="00657751"/>
    <w:rsid w:val="0081262D"/>
    <w:rsid w:val="008431E8"/>
    <w:rsid w:val="00A05E89"/>
    <w:rsid w:val="00A334B1"/>
    <w:rsid w:val="00A559A9"/>
    <w:rsid w:val="00B4216C"/>
    <w:rsid w:val="00D44998"/>
    <w:rsid w:val="00DF5B8C"/>
    <w:rsid w:val="00F218ED"/>
    <w:rsid w:val="446E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8"/>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表内容"/>
    <w:next w:val="1"/>
    <w:link w:val="5"/>
    <w:qFormat/>
    <w:uiPriority w:val="0"/>
    <w:pPr>
      <w:snapToGrid w:val="0"/>
      <w:jc w:val="center"/>
    </w:pPr>
    <w:rPr>
      <w:rFonts w:ascii="Times New Roman" w:hAnsi="Times New Roman" w:eastAsia="宋体" w:cstheme="minorBidi"/>
      <w:snapToGrid w:val="0"/>
      <w:kern w:val="2"/>
      <w:sz w:val="24"/>
      <w:szCs w:val="24"/>
      <w:lang w:val="en-US" w:eastAsia="zh-CN" w:bidi="ar-SA"/>
    </w:rPr>
  </w:style>
  <w:style w:type="character" w:customStyle="1" w:styleId="5">
    <w:name w:val="表内容 Char"/>
    <w:basedOn w:val="3"/>
    <w:link w:val="4"/>
    <w:qFormat/>
    <w:uiPriority w:val="0"/>
    <w:rPr>
      <w:rFonts w:ascii="Times New Roman" w:hAnsi="Times New Roman" w:eastAsia="宋体"/>
      <w:snapToGrid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2058</Words>
  <Characters>2142</Characters>
  <Lines>16</Lines>
  <Paragraphs>4</Paragraphs>
  <TotalTime>23</TotalTime>
  <ScaleCrop>false</ScaleCrop>
  <LinksUpToDate>false</LinksUpToDate>
  <CharactersWithSpaces>2142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2022-04-18T07:58:00Z</dcterms:created>
  <dc:creator>wp9306</dc:creator>
  <cp:lastModifiedBy>admin</cp:lastModifiedBy>
  <dcterms:modified xsi:type="dcterms:W3CDTF">2022-04-21T00:28:23Z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1CBDE2395E4B4700AE8E923C988B6A11</vt:lpwstr>
  </property>
</Properties>
</file>